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3F705" w14:textId="77777777" w:rsidR="00E23824" w:rsidRPr="00D9301F" w:rsidRDefault="00E23824" w:rsidP="0088725C">
      <w:pPr>
        <w:jc w:val="center"/>
        <w:rPr>
          <w:b/>
          <w:sz w:val="28"/>
          <w:lang w:val="en-GB"/>
        </w:rPr>
      </w:pPr>
      <w:r w:rsidRPr="00D9301F">
        <w:rPr>
          <w:b/>
          <w:sz w:val="28"/>
          <w:lang w:val="en-GB"/>
        </w:rPr>
        <w:t xml:space="preserve">SUPPLY </w:t>
      </w:r>
      <w:r w:rsidR="008A6648" w:rsidRPr="00D9301F">
        <w:rPr>
          <w:b/>
          <w:sz w:val="28"/>
          <w:lang w:val="en-GB"/>
        </w:rPr>
        <w:t>CONTRACT NOTICE</w:t>
      </w:r>
    </w:p>
    <w:p w14:paraId="2DF70D53" w14:textId="77777777" w:rsidR="00223A4A" w:rsidRPr="00D9301F" w:rsidRDefault="00223A4A" w:rsidP="00223A4A">
      <w:pPr>
        <w:spacing w:after="120"/>
        <w:jc w:val="center"/>
        <w:rPr>
          <w:rStyle w:val="Naglaeno"/>
          <w:szCs w:val="24"/>
          <w:lang w:val="en-GB"/>
        </w:rPr>
      </w:pPr>
      <w:r w:rsidRPr="00D9301F">
        <w:rPr>
          <w:rStyle w:val="Naglaeno"/>
          <w:szCs w:val="24"/>
          <w:lang w:val="en-GB"/>
        </w:rPr>
        <w:t>Supply of tele and digitalisation software including IT equipment</w:t>
      </w:r>
    </w:p>
    <w:p w14:paraId="79483F47" w14:textId="79C6FE6B" w:rsidR="002604E1" w:rsidRPr="00D9301F" w:rsidRDefault="00223A4A" w:rsidP="00223A4A">
      <w:pPr>
        <w:spacing w:after="120"/>
        <w:jc w:val="center"/>
        <w:rPr>
          <w:b/>
          <w:sz w:val="22"/>
          <w:szCs w:val="22"/>
          <w:lang w:val="en-GB"/>
        </w:rPr>
      </w:pPr>
      <w:r w:rsidRPr="00D9301F">
        <w:rPr>
          <w:rStyle w:val="Naglaeno"/>
          <w:szCs w:val="24"/>
          <w:lang w:val="en-GB"/>
        </w:rPr>
        <w:t>Ref.no: 01-P-24/25</w:t>
      </w:r>
    </w:p>
    <w:p w14:paraId="2A159EC6" w14:textId="0777E9A4" w:rsidR="00E23824" w:rsidRPr="00D9301F" w:rsidRDefault="00223A4A" w:rsidP="00644767">
      <w:pPr>
        <w:spacing w:after="120"/>
        <w:jc w:val="center"/>
        <w:rPr>
          <w:rStyle w:val="Naglaeno"/>
          <w:szCs w:val="24"/>
          <w:lang w:val="en-GB"/>
        </w:rPr>
      </w:pPr>
      <w:r w:rsidRPr="00D9301F">
        <w:rPr>
          <w:rStyle w:val="Naglaeno"/>
          <w:szCs w:val="24"/>
          <w:lang w:val="en-GB"/>
        </w:rPr>
        <w:t>Mostar</w:t>
      </w:r>
      <w:r w:rsidR="00B81EA8" w:rsidRPr="00D9301F">
        <w:rPr>
          <w:rStyle w:val="Naglaeno"/>
          <w:szCs w:val="24"/>
          <w:lang w:val="en-GB"/>
        </w:rPr>
        <w:t xml:space="preserve">, </w:t>
      </w:r>
      <w:r w:rsidRPr="00D9301F">
        <w:rPr>
          <w:rStyle w:val="Naglaeno"/>
          <w:szCs w:val="24"/>
          <w:lang w:val="en-GB"/>
        </w:rPr>
        <w:t>Bosnia and Herzegovina</w:t>
      </w:r>
    </w:p>
    <w:p w14:paraId="1671E179" w14:textId="77777777" w:rsidR="00E23824" w:rsidRPr="00D9301F" w:rsidRDefault="00E23824" w:rsidP="00AF3DC9">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Publication reference</w:t>
      </w:r>
    </w:p>
    <w:p w14:paraId="29E391D6" w14:textId="066DC751" w:rsidR="00EA36E6" w:rsidRPr="00D9301F" w:rsidRDefault="00223A4A" w:rsidP="00AF3DC9">
      <w:pPr>
        <w:pStyle w:val="Blockquote"/>
        <w:tabs>
          <w:tab w:val="left" w:pos="709"/>
        </w:tabs>
        <w:ind w:left="709"/>
        <w:rPr>
          <w:sz w:val="22"/>
          <w:szCs w:val="22"/>
          <w:lang w:val="en-GB"/>
        </w:rPr>
      </w:pPr>
      <w:r w:rsidRPr="00D9301F">
        <w:rPr>
          <w:sz w:val="22"/>
          <w:szCs w:val="22"/>
          <w:lang w:val="en-GB"/>
        </w:rPr>
        <w:t>01-P-24/25</w:t>
      </w:r>
      <w:r w:rsidR="00293121" w:rsidRPr="00D9301F">
        <w:rPr>
          <w:sz w:val="22"/>
          <w:szCs w:val="22"/>
          <w:lang w:val="en-GB"/>
        </w:rPr>
        <w:t xml:space="preserve"> </w:t>
      </w:r>
    </w:p>
    <w:p w14:paraId="1A5E7F09" w14:textId="77777777" w:rsidR="00E23824" w:rsidRPr="00D9301F" w:rsidRDefault="00E23824" w:rsidP="00AF3DC9">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Procedure</w:t>
      </w:r>
    </w:p>
    <w:p w14:paraId="363C29E7" w14:textId="1D35DE14" w:rsidR="00E23824" w:rsidRPr="00D9301F" w:rsidRDefault="00786B27" w:rsidP="00AF3DC9">
      <w:pPr>
        <w:pStyle w:val="Blockquote"/>
        <w:tabs>
          <w:tab w:val="left" w:pos="709"/>
        </w:tabs>
        <w:ind w:left="709"/>
        <w:rPr>
          <w:sz w:val="22"/>
          <w:szCs w:val="22"/>
          <w:lang w:val="en-GB"/>
        </w:rPr>
      </w:pPr>
      <w:r w:rsidRPr="00D9301F">
        <w:rPr>
          <w:sz w:val="22"/>
          <w:szCs w:val="22"/>
          <w:lang w:val="en-GB"/>
        </w:rPr>
        <w:t>Local open</w:t>
      </w:r>
    </w:p>
    <w:p w14:paraId="3D204E25" w14:textId="77777777" w:rsidR="00E23824" w:rsidRPr="00D9301F" w:rsidRDefault="00E23824" w:rsidP="00AF3DC9">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Programme</w:t>
      </w:r>
      <w:r w:rsidR="000E3C60" w:rsidRPr="00D9301F">
        <w:rPr>
          <w:rStyle w:val="Naglaeno"/>
          <w:szCs w:val="24"/>
          <w:lang w:val="en-GB"/>
        </w:rPr>
        <w:t xml:space="preserve"> title</w:t>
      </w:r>
    </w:p>
    <w:p w14:paraId="75462F4F" w14:textId="006E0B0F" w:rsidR="00C7733C" w:rsidRPr="00D9301F" w:rsidRDefault="009041B8" w:rsidP="009041B8">
      <w:pPr>
        <w:pStyle w:val="Odlomakpopisa"/>
        <w:pBdr>
          <w:top w:val="nil"/>
          <w:left w:val="nil"/>
          <w:bottom w:val="nil"/>
          <w:right w:val="nil"/>
          <w:between w:val="nil"/>
        </w:pBdr>
        <w:ind w:left="644" w:right="360"/>
        <w:rPr>
          <w:rFonts w:ascii="Times New Roman" w:hAnsi="Times New Roman"/>
        </w:rPr>
      </w:pPr>
      <w:r w:rsidRPr="00D9301F">
        <w:rPr>
          <w:rFonts w:ascii="Times New Roman" w:hAnsi="Times New Roman"/>
        </w:rPr>
        <w:t>I</w:t>
      </w:r>
      <w:r w:rsidR="00C7733C" w:rsidRPr="00D9301F">
        <w:rPr>
          <w:rFonts w:ascii="Times New Roman" w:hAnsi="Times New Roman"/>
        </w:rPr>
        <w:t>nterreg VI-A IPA programme Croatia – Bosnia and Herzegovina – Montenegro</w:t>
      </w:r>
    </w:p>
    <w:p w14:paraId="37D3F284" w14:textId="77777777" w:rsidR="00E23824" w:rsidRPr="00D9301F" w:rsidRDefault="00E23824" w:rsidP="00AF3DC9">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Financing</w:t>
      </w:r>
    </w:p>
    <w:p w14:paraId="590B83D9" w14:textId="68D9DEA6" w:rsidR="00E23824" w:rsidRPr="00D9301F" w:rsidRDefault="00F21865" w:rsidP="00AF3DC9">
      <w:pPr>
        <w:pStyle w:val="Blockquote"/>
        <w:tabs>
          <w:tab w:val="left" w:pos="709"/>
        </w:tabs>
        <w:ind w:left="709"/>
        <w:rPr>
          <w:sz w:val="22"/>
          <w:szCs w:val="22"/>
          <w:lang w:val="en-GB"/>
        </w:rPr>
      </w:pPr>
      <w:r w:rsidRPr="00D9301F">
        <w:rPr>
          <w:sz w:val="22"/>
          <w:szCs w:val="22"/>
          <w:lang w:val="en-GB"/>
        </w:rPr>
        <w:t xml:space="preserve">Project: </w:t>
      </w:r>
      <w:r w:rsidR="002604E1" w:rsidRPr="00D9301F">
        <w:rPr>
          <w:sz w:val="22"/>
          <w:szCs w:val="22"/>
          <w:lang w:val="en-GB"/>
        </w:rPr>
        <w:t>HR-BA-ME00104</w:t>
      </w:r>
      <w:r w:rsidRPr="00D9301F">
        <w:rPr>
          <w:sz w:val="22"/>
          <w:szCs w:val="22"/>
          <w:lang w:val="en-GB"/>
        </w:rPr>
        <w:t xml:space="preserve"> - </w:t>
      </w:r>
      <w:r w:rsidR="002604E1" w:rsidRPr="00D9301F">
        <w:rPr>
          <w:sz w:val="22"/>
          <w:szCs w:val="22"/>
          <w:lang w:val="en-GB"/>
        </w:rPr>
        <w:t>Telepathology as a joint method for improving quality of diagnosis of digestive tract diseases in the targeted regions of Croatia, Bosnia-Herzegovina and Montenegro – PATODIGITAL</w:t>
      </w:r>
      <w:r w:rsidRPr="00D9301F">
        <w:rPr>
          <w:sz w:val="22"/>
          <w:szCs w:val="22"/>
          <w:lang w:val="en-GB"/>
        </w:rPr>
        <w:t>, financed by Interreg VI-A IPA Programme Croatia – Bosnia and Herzegovina – Montenegro</w:t>
      </w:r>
      <w:r w:rsidR="002604E1" w:rsidRPr="00D9301F">
        <w:rPr>
          <w:sz w:val="22"/>
          <w:szCs w:val="22"/>
          <w:lang w:val="en-GB"/>
        </w:rPr>
        <w:t xml:space="preserve">. Budget line: </w:t>
      </w:r>
      <w:r w:rsidR="00223A4A" w:rsidRPr="00D9301F">
        <w:rPr>
          <w:sz w:val="22"/>
          <w:szCs w:val="22"/>
          <w:lang w:val="en-GB"/>
        </w:rPr>
        <w:t>Procurement of tele and digitalisation software including IT equipment</w:t>
      </w:r>
    </w:p>
    <w:p w14:paraId="29CE0A21" w14:textId="77777777" w:rsidR="00E23824" w:rsidRPr="00D9301F" w:rsidRDefault="00EC6129" w:rsidP="00AF3DC9">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Project partner</w:t>
      </w:r>
    </w:p>
    <w:p w14:paraId="77555912" w14:textId="2B39F5D0" w:rsidR="00A506DB" w:rsidRPr="00D9301F" w:rsidRDefault="00994371" w:rsidP="00644767">
      <w:pPr>
        <w:tabs>
          <w:tab w:val="left" w:pos="1134"/>
        </w:tabs>
        <w:snapToGrid w:val="0"/>
        <w:spacing w:after="480"/>
        <w:ind w:left="709"/>
        <w:rPr>
          <w:rStyle w:val="Istaknuto"/>
          <w:i w:val="0"/>
          <w:sz w:val="22"/>
          <w:szCs w:val="22"/>
          <w:highlight w:val="yellow"/>
          <w:lang w:val="en-GB"/>
        </w:rPr>
      </w:pPr>
      <w:r w:rsidRPr="00D9301F">
        <w:rPr>
          <w:sz w:val="22"/>
          <w:szCs w:val="22"/>
          <w:lang w:val="en-GB"/>
        </w:rPr>
        <w:t xml:space="preserve">University of Mostar School of Medicine, </w:t>
      </w:r>
      <w:r w:rsidR="009B6F04">
        <w:rPr>
          <w:sz w:val="22"/>
          <w:szCs w:val="22"/>
          <w:lang w:val="en-GB"/>
        </w:rPr>
        <w:t>Kralja Petra Krešimira IV bb</w:t>
      </w:r>
      <w:r w:rsidRPr="00D9301F">
        <w:rPr>
          <w:sz w:val="22"/>
          <w:szCs w:val="22"/>
          <w:lang w:val="en-GB"/>
        </w:rPr>
        <w:t>, 88000 Mostar</w:t>
      </w:r>
      <w:r w:rsidR="002604E1" w:rsidRPr="00D9301F">
        <w:rPr>
          <w:sz w:val="22"/>
          <w:szCs w:val="22"/>
          <w:lang w:val="en-GB"/>
        </w:rPr>
        <w:t xml:space="preserve">, reg.no. </w:t>
      </w:r>
      <w:r w:rsidRPr="00D9301F">
        <w:rPr>
          <w:sz w:val="22"/>
          <w:szCs w:val="22"/>
          <w:lang w:val="en-GB"/>
        </w:rPr>
        <w:t>422708813005</w:t>
      </w:r>
    </w:p>
    <w:p w14:paraId="2046EF51" w14:textId="77777777" w:rsidR="00E23824" w:rsidRPr="00D9301F" w:rsidRDefault="00E23824" w:rsidP="00C65475">
      <w:pPr>
        <w:keepNext/>
        <w:keepLines/>
        <w:widowControl/>
        <w:tabs>
          <w:tab w:val="left" w:pos="1134"/>
        </w:tabs>
        <w:snapToGrid w:val="0"/>
        <w:ind w:left="709"/>
        <w:jc w:val="center"/>
        <w:rPr>
          <w:rStyle w:val="Naglaeno"/>
          <w:sz w:val="28"/>
          <w:szCs w:val="28"/>
          <w:lang w:val="en-GB"/>
        </w:rPr>
      </w:pPr>
      <w:r w:rsidRPr="00D9301F">
        <w:rPr>
          <w:rStyle w:val="Naglaeno"/>
          <w:sz w:val="28"/>
          <w:szCs w:val="28"/>
          <w:lang w:val="en-GB"/>
        </w:rPr>
        <w:t>CONTRACT SPECIFICATIONS</w:t>
      </w:r>
    </w:p>
    <w:p w14:paraId="5C57BFEE" w14:textId="77777777" w:rsidR="00E23824" w:rsidRPr="00D9301F" w:rsidRDefault="00E23824" w:rsidP="00C65475">
      <w:pPr>
        <w:keepNext/>
        <w:keepLines/>
        <w:widowControl/>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 xml:space="preserve">Description of the contract </w:t>
      </w:r>
    </w:p>
    <w:p w14:paraId="564282F2" w14:textId="77777777" w:rsidR="002604E1" w:rsidRPr="00D9301F" w:rsidRDefault="002604E1" w:rsidP="002604E1">
      <w:pPr>
        <w:pStyle w:val="Blockquote"/>
        <w:ind w:left="709"/>
        <w:rPr>
          <w:sz w:val="22"/>
          <w:szCs w:val="22"/>
          <w:lang w:val="en-GB"/>
        </w:rPr>
      </w:pPr>
      <w:r w:rsidRPr="00D9301F">
        <w:rPr>
          <w:sz w:val="22"/>
          <w:szCs w:val="22"/>
          <w:lang w:val="en-GB"/>
        </w:rPr>
        <w:t>In order to improve the efficiency of the work of certain health institutions in the field of pathology, the project partners came up with the idea that through joint cross-border diagnostics, they can reach more reliable diagnoses and use the knowledge and experience of colleagues from the region.</w:t>
      </w:r>
    </w:p>
    <w:p w14:paraId="50A6732D" w14:textId="77777777" w:rsidR="002604E1" w:rsidRPr="00D9301F" w:rsidRDefault="002604E1" w:rsidP="002604E1">
      <w:pPr>
        <w:pStyle w:val="Blockquote"/>
        <w:ind w:left="709"/>
        <w:rPr>
          <w:sz w:val="22"/>
          <w:szCs w:val="22"/>
          <w:lang w:val="en-GB"/>
        </w:rPr>
      </w:pPr>
      <w:r w:rsidRPr="00D9301F">
        <w:rPr>
          <w:sz w:val="22"/>
          <w:szCs w:val="22"/>
          <w:lang w:val="en-GB"/>
        </w:rPr>
        <w:t>Digital pathology allows pathologists to share and access digital images of slides over the internet. This fosters collaboration among experts across different geographical locations. Pathologists can easily consult with colleagues, specialists, or experts worldwide, leading to more accurate diagnoses and treatment decisions.</w:t>
      </w:r>
    </w:p>
    <w:p w14:paraId="1C9D6974" w14:textId="77777777" w:rsidR="002604E1" w:rsidRPr="00D9301F" w:rsidRDefault="002604E1" w:rsidP="002604E1">
      <w:pPr>
        <w:pStyle w:val="Blockquote"/>
        <w:ind w:left="709"/>
        <w:rPr>
          <w:sz w:val="22"/>
          <w:szCs w:val="22"/>
          <w:lang w:val="en-GB"/>
        </w:rPr>
      </w:pPr>
      <w:r w:rsidRPr="00D9301F">
        <w:rPr>
          <w:sz w:val="22"/>
          <w:szCs w:val="22"/>
          <w:lang w:val="en-GB"/>
        </w:rPr>
        <w:t xml:space="preserve">Telepathology enables remote consultations, making it possible for pathologists to provide their expertise even in areas with limited access to pathology services. </w:t>
      </w:r>
    </w:p>
    <w:p w14:paraId="5DE35464" w14:textId="77777777" w:rsidR="002604E1" w:rsidRPr="00D9301F" w:rsidRDefault="002604E1" w:rsidP="002604E1">
      <w:pPr>
        <w:pStyle w:val="Blockquote"/>
        <w:ind w:left="709"/>
        <w:rPr>
          <w:sz w:val="22"/>
          <w:szCs w:val="22"/>
          <w:lang w:val="en-GB"/>
        </w:rPr>
      </w:pPr>
      <w:r w:rsidRPr="00D9301F">
        <w:rPr>
          <w:sz w:val="22"/>
          <w:szCs w:val="22"/>
          <w:lang w:val="en-GB"/>
        </w:rPr>
        <w:lastRenderedPageBreak/>
        <w:t>Digitizing pathology slides speeds up the process of image acquisition, transfer, and analysis. This helps in reducing the time it takes for pathologists to review cases and provide timely results to clinicians, leading to faster patient care and treatment planning.</w:t>
      </w:r>
    </w:p>
    <w:p w14:paraId="75296494" w14:textId="77777777" w:rsidR="002604E1" w:rsidRPr="00D9301F" w:rsidRDefault="002604E1" w:rsidP="002604E1">
      <w:pPr>
        <w:pStyle w:val="Blockquote"/>
        <w:ind w:left="709"/>
        <w:rPr>
          <w:sz w:val="22"/>
          <w:szCs w:val="22"/>
          <w:lang w:val="en-GB"/>
        </w:rPr>
      </w:pPr>
      <w:r w:rsidRPr="00D9301F">
        <w:rPr>
          <w:sz w:val="22"/>
          <w:szCs w:val="22"/>
          <w:lang w:val="en-GB"/>
        </w:rPr>
        <w:t>Overall, digital pathology and telepathology are critical components of modern cross-border healthcare that can improve diagnostic accuracy, enhance patient care, increase accessibility to pathology services, and contribute to medical advancements through research and education.</w:t>
      </w:r>
    </w:p>
    <w:p w14:paraId="2D6AEE92" w14:textId="380215C1" w:rsidR="00E23824" w:rsidRPr="00D9301F" w:rsidRDefault="00223A4A" w:rsidP="002604E1">
      <w:pPr>
        <w:pStyle w:val="Blockquote"/>
        <w:ind w:left="709"/>
        <w:rPr>
          <w:sz w:val="22"/>
          <w:szCs w:val="22"/>
          <w:lang w:val="en-GB"/>
        </w:rPr>
      </w:pPr>
      <w:r w:rsidRPr="00D9301F">
        <w:rPr>
          <w:sz w:val="22"/>
          <w:szCs w:val="22"/>
          <w:lang w:val="en-GB"/>
        </w:rPr>
        <w:t>Procurement of tele and digitalisation software including IT equipment</w:t>
      </w:r>
      <w:r w:rsidR="002333D7" w:rsidRPr="00D9301F">
        <w:rPr>
          <w:sz w:val="22"/>
          <w:szCs w:val="22"/>
          <w:lang w:val="en-GB"/>
        </w:rPr>
        <w:t xml:space="preserve"> will contribute to achievement of above mentioned goal</w:t>
      </w:r>
      <w:r w:rsidR="00644767" w:rsidRPr="00D9301F">
        <w:rPr>
          <w:sz w:val="22"/>
          <w:szCs w:val="22"/>
          <w:lang w:val="en-GB"/>
        </w:rPr>
        <w:t>.</w:t>
      </w:r>
    </w:p>
    <w:p w14:paraId="7A4F1A19" w14:textId="77777777" w:rsidR="00E23824" w:rsidRPr="00D9301F" w:rsidRDefault="00E23824" w:rsidP="00A506DB">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Number and titles of lots</w:t>
      </w:r>
    </w:p>
    <w:p w14:paraId="47A920BA" w14:textId="5061A335" w:rsidR="00FC0F2D" w:rsidRPr="00D9301F" w:rsidRDefault="00FC0F2D" w:rsidP="00FC0F2D">
      <w:pPr>
        <w:pStyle w:val="Blockquote"/>
        <w:ind w:left="709"/>
        <w:jc w:val="both"/>
        <w:rPr>
          <w:rStyle w:val="Istaknuto"/>
          <w:i w:val="0"/>
          <w:sz w:val="22"/>
          <w:szCs w:val="22"/>
          <w:lang w:val="en-GB"/>
        </w:rPr>
      </w:pPr>
      <w:r w:rsidRPr="00D9301F">
        <w:rPr>
          <w:rStyle w:val="Istaknuto"/>
          <w:i w:val="0"/>
          <w:sz w:val="22"/>
          <w:szCs w:val="22"/>
          <w:lang w:val="en-GB"/>
        </w:rPr>
        <w:t>One lot only</w:t>
      </w:r>
    </w:p>
    <w:p w14:paraId="3DA92438" w14:textId="77777777" w:rsidR="00E23824" w:rsidRPr="00D9301F" w:rsidRDefault="00E23824" w:rsidP="0088725C">
      <w:pPr>
        <w:pStyle w:val="Blockquote"/>
        <w:spacing w:before="400"/>
        <w:ind w:left="357" w:right="0"/>
        <w:jc w:val="center"/>
        <w:rPr>
          <w:rStyle w:val="Naglaeno"/>
          <w:sz w:val="28"/>
          <w:szCs w:val="28"/>
          <w:lang w:val="en-GB"/>
        </w:rPr>
      </w:pPr>
      <w:r w:rsidRPr="00D9301F">
        <w:rPr>
          <w:rStyle w:val="Naglaeno"/>
          <w:sz w:val="28"/>
          <w:szCs w:val="28"/>
          <w:lang w:val="en-GB"/>
        </w:rPr>
        <w:t>TERMS OF PARTICIPATION</w:t>
      </w:r>
    </w:p>
    <w:p w14:paraId="074A3945" w14:textId="7C934B7E" w:rsidR="001462B0" w:rsidRPr="00D9301F" w:rsidRDefault="00E23824" w:rsidP="001462B0">
      <w:pPr>
        <w:numPr>
          <w:ilvl w:val="0"/>
          <w:numId w:val="35"/>
        </w:numPr>
        <w:tabs>
          <w:tab w:val="clear" w:pos="644"/>
          <w:tab w:val="num" w:pos="709"/>
        </w:tabs>
        <w:ind w:left="709"/>
        <w:outlineLvl w:val="0"/>
        <w:rPr>
          <w:b/>
          <w:szCs w:val="24"/>
          <w:lang w:val="en-GB"/>
        </w:rPr>
      </w:pPr>
      <w:r w:rsidRPr="00D9301F">
        <w:rPr>
          <w:rStyle w:val="Naglaeno"/>
          <w:szCs w:val="24"/>
          <w:lang w:val="en-GB"/>
        </w:rPr>
        <w:t>Eligibility and rules of origin</w:t>
      </w:r>
      <w:r w:rsidR="00AF346B" w:rsidRPr="00D9301F">
        <w:rPr>
          <w:rStyle w:val="Naglaeno"/>
          <w:szCs w:val="24"/>
          <w:lang w:val="en-GB"/>
        </w:rPr>
        <w:t xml:space="preserve"> </w:t>
      </w:r>
      <w:bookmarkStart w:id="0" w:name="_DV_M201"/>
      <w:bookmarkStart w:id="1" w:name="_Hlk507432484"/>
      <w:bookmarkEnd w:id="0"/>
    </w:p>
    <w:p w14:paraId="1A80C20E" w14:textId="6EAD37F0" w:rsidR="001462B0" w:rsidRPr="00D9301F" w:rsidRDefault="001462B0" w:rsidP="00AC2A69">
      <w:pPr>
        <w:pStyle w:val="Blockquote"/>
        <w:ind w:left="709" w:right="1"/>
        <w:jc w:val="both"/>
        <w:rPr>
          <w:sz w:val="22"/>
          <w:szCs w:val="22"/>
          <w:lang w:val="en-GB"/>
        </w:rPr>
      </w:pPr>
      <w:r w:rsidRPr="00D9301F">
        <w:rPr>
          <w:sz w:val="22"/>
          <w:szCs w:val="22"/>
          <w:lang w:val="en-GB"/>
        </w:rPr>
        <w:t>Participation in the award of procurement contracts and other award procedures for actions financed under the Programme is open to all legal persons which are effectively established in the participating countries, other Member States, other IPA II</w:t>
      </w:r>
      <w:r w:rsidR="00C7733C" w:rsidRPr="00D9301F">
        <w:rPr>
          <w:sz w:val="22"/>
          <w:szCs w:val="22"/>
          <w:lang w:val="en-GB"/>
        </w:rPr>
        <w:t>I</w:t>
      </w:r>
      <w:r w:rsidRPr="00D9301F">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D9301F" w:rsidRDefault="001462B0" w:rsidP="001462B0">
      <w:pPr>
        <w:pStyle w:val="Blockquote"/>
        <w:ind w:left="709" w:right="1"/>
        <w:jc w:val="both"/>
        <w:rPr>
          <w:sz w:val="22"/>
          <w:szCs w:val="22"/>
          <w:lang w:val="en-GB"/>
        </w:rPr>
      </w:pPr>
      <w:r w:rsidRPr="00D9301F">
        <w:rPr>
          <w:sz w:val="22"/>
          <w:szCs w:val="22"/>
          <w:lang w:val="en-GB"/>
        </w:rPr>
        <w:t>All supplies purchased under a procurement contract, or in accordance with a grant agreement, financed under IPA I</w:t>
      </w:r>
      <w:r w:rsidR="00C7733C" w:rsidRPr="00D9301F">
        <w:rPr>
          <w:sz w:val="22"/>
          <w:szCs w:val="22"/>
          <w:lang w:val="en-GB"/>
        </w:rPr>
        <w:t>I</w:t>
      </w:r>
      <w:r w:rsidRPr="00D9301F">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Pr="00D9301F" w:rsidRDefault="001462B0" w:rsidP="001462B0">
      <w:pPr>
        <w:pStyle w:val="Blockquote"/>
        <w:ind w:left="709" w:right="1"/>
        <w:jc w:val="both"/>
        <w:rPr>
          <w:sz w:val="22"/>
          <w:szCs w:val="22"/>
          <w:lang w:val="en-GB"/>
        </w:rPr>
      </w:pPr>
      <w:r w:rsidRPr="00D9301F">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D9301F" w:rsidRDefault="00E23824" w:rsidP="00AC2A69">
      <w:pPr>
        <w:numPr>
          <w:ilvl w:val="0"/>
          <w:numId w:val="35"/>
        </w:numPr>
        <w:tabs>
          <w:tab w:val="clear" w:pos="644"/>
          <w:tab w:val="num" w:pos="709"/>
        </w:tabs>
        <w:ind w:left="709" w:right="1" w:hanging="425"/>
        <w:outlineLvl w:val="0"/>
        <w:rPr>
          <w:rStyle w:val="Naglaeno"/>
          <w:szCs w:val="24"/>
          <w:lang w:val="en-GB"/>
        </w:rPr>
      </w:pPr>
      <w:r w:rsidRPr="00D9301F">
        <w:rPr>
          <w:rStyle w:val="Naglaeno"/>
          <w:szCs w:val="24"/>
          <w:lang w:val="en-GB"/>
        </w:rPr>
        <w:t>Grounds for exclusion</w:t>
      </w:r>
    </w:p>
    <w:p w14:paraId="5827D459" w14:textId="29A28961" w:rsidR="00E23824" w:rsidRPr="00D9301F" w:rsidRDefault="00E23824" w:rsidP="00AC2A69">
      <w:pPr>
        <w:pStyle w:val="Blockquote"/>
        <w:ind w:left="709" w:right="1"/>
        <w:jc w:val="both"/>
        <w:rPr>
          <w:b/>
          <w:i/>
          <w:sz w:val="22"/>
          <w:szCs w:val="22"/>
          <w:lang w:val="en-GB"/>
        </w:rPr>
      </w:pPr>
      <w:r w:rsidRPr="00D9301F">
        <w:rPr>
          <w:sz w:val="22"/>
          <w:szCs w:val="22"/>
          <w:lang w:val="en-GB"/>
        </w:rPr>
        <w:t xml:space="preserve">Tenderers must </w:t>
      </w:r>
      <w:r w:rsidR="006A1583" w:rsidRPr="00D9301F">
        <w:rPr>
          <w:sz w:val="22"/>
          <w:szCs w:val="22"/>
          <w:lang w:val="en-GB"/>
        </w:rPr>
        <w:t xml:space="preserve">submit a </w:t>
      </w:r>
      <w:r w:rsidR="00AF346B" w:rsidRPr="00D9301F">
        <w:rPr>
          <w:sz w:val="22"/>
          <w:szCs w:val="22"/>
          <w:lang w:val="en-GB"/>
        </w:rPr>
        <w:t xml:space="preserve">signed </w:t>
      </w:r>
      <w:r w:rsidR="00DC2049" w:rsidRPr="00D9301F">
        <w:rPr>
          <w:sz w:val="22"/>
          <w:szCs w:val="22"/>
          <w:lang w:val="en-GB"/>
        </w:rPr>
        <w:t xml:space="preserve">declaration, included in the Tender Form for a Supply Contract, </w:t>
      </w:r>
      <w:r w:rsidR="006A1583" w:rsidRPr="00D9301F">
        <w:rPr>
          <w:sz w:val="22"/>
          <w:szCs w:val="22"/>
          <w:lang w:val="en-GB"/>
        </w:rPr>
        <w:t xml:space="preserve">to the effect </w:t>
      </w:r>
      <w:r w:rsidRPr="00D9301F">
        <w:rPr>
          <w:sz w:val="22"/>
          <w:szCs w:val="22"/>
          <w:lang w:val="en-GB"/>
        </w:rPr>
        <w:t>that they are not in any of the situations listed in point 2</w:t>
      </w:r>
      <w:r w:rsidR="0081446D" w:rsidRPr="00D9301F">
        <w:rPr>
          <w:sz w:val="22"/>
          <w:szCs w:val="22"/>
          <w:lang w:val="en-GB"/>
        </w:rPr>
        <w:t>.6.10.1.</w:t>
      </w:r>
      <w:r w:rsidRPr="00D9301F">
        <w:rPr>
          <w:sz w:val="22"/>
          <w:szCs w:val="22"/>
          <w:lang w:val="en-GB"/>
        </w:rPr>
        <w:t xml:space="preserve"> of the Practical Guide.</w:t>
      </w:r>
    </w:p>
    <w:p w14:paraId="0B0A4FD3" w14:textId="77777777" w:rsidR="00E23824" w:rsidRPr="00D9301F" w:rsidRDefault="00E23824" w:rsidP="00AC2A69">
      <w:pPr>
        <w:numPr>
          <w:ilvl w:val="0"/>
          <w:numId w:val="35"/>
        </w:numPr>
        <w:tabs>
          <w:tab w:val="clear" w:pos="644"/>
          <w:tab w:val="num" w:pos="709"/>
        </w:tabs>
        <w:ind w:left="709" w:right="1" w:hanging="425"/>
        <w:outlineLvl w:val="0"/>
        <w:rPr>
          <w:rStyle w:val="Naglaeno"/>
          <w:szCs w:val="24"/>
          <w:lang w:val="en-GB"/>
        </w:rPr>
      </w:pPr>
      <w:r w:rsidRPr="00D9301F">
        <w:rPr>
          <w:rStyle w:val="Naglaeno"/>
          <w:szCs w:val="24"/>
          <w:lang w:val="en-GB"/>
        </w:rPr>
        <w:t>Number of tenders</w:t>
      </w:r>
    </w:p>
    <w:p w14:paraId="25A4FDF0" w14:textId="2131EA18" w:rsidR="00E23824" w:rsidRPr="00D9301F" w:rsidRDefault="00E23824" w:rsidP="00AC2A69">
      <w:pPr>
        <w:pStyle w:val="Blockquote"/>
        <w:ind w:left="709" w:right="1"/>
        <w:jc w:val="both"/>
        <w:rPr>
          <w:sz w:val="22"/>
          <w:szCs w:val="22"/>
          <w:lang w:val="en-GB"/>
        </w:rPr>
      </w:pPr>
      <w:r w:rsidRPr="00D9301F">
        <w:rPr>
          <w:sz w:val="22"/>
          <w:szCs w:val="22"/>
          <w:lang w:val="en-GB"/>
        </w:rPr>
        <w:t xml:space="preserve">Tenderers may submit </w:t>
      </w:r>
      <w:r w:rsidR="00071260" w:rsidRPr="00D9301F">
        <w:rPr>
          <w:sz w:val="22"/>
          <w:szCs w:val="22"/>
          <w:lang w:val="en-GB"/>
        </w:rPr>
        <w:t>only one tender per lot</w:t>
      </w:r>
      <w:r w:rsidRPr="00D9301F">
        <w:rPr>
          <w:sz w:val="22"/>
          <w:szCs w:val="22"/>
          <w:lang w:val="en-GB"/>
        </w:rPr>
        <w:t>. Tenders for parts of a lot will not be considered. Any tenderer may state in its tender that it would offer a discount in the event that its tender is accepted for more than one lot. Tenderers may not submit a tender for a variant solution in addition to their tender for the supplies required in the tender dossier.</w:t>
      </w:r>
    </w:p>
    <w:p w14:paraId="45AEA113" w14:textId="77777777" w:rsidR="00E23824" w:rsidRPr="00D9301F" w:rsidRDefault="00E23824" w:rsidP="00AC2A69">
      <w:pPr>
        <w:numPr>
          <w:ilvl w:val="0"/>
          <w:numId w:val="35"/>
        </w:numPr>
        <w:tabs>
          <w:tab w:val="clear" w:pos="644"/>
          <w:tab w:val="num" w:pos="709"/>
        </w:tabs>
        <w:ind w:left="709" w:right="1" w:hanging="425"/>
        <w:outlineLvl w:val="0"/>
        <w:rPr>
          <w:rStyle w:val="Naglaeno"/>
          <w:szCs w:val="24"/>
          <w:lang w:val="en-GB"/>
        </w:rPr>
      </w:pPr>
      <w:r w:rsidRPr="00D9301F">
        <w:rPr>
          <w:rStyle w:val="Naglaeno"/>
          <w:szCs w:val="24"/>
          <w:lang w:val="en-GB"/>
        </w:rPr>
        <w:t>Tender guarantee</w:t>
      </w:r>
    </w:p>
    <w:p w14:paraId="3B7849A4" w14:textId="6F6507F1" w:rsidR="00DC2049" w:rsidRPr="00D9301F" w:rsidRDefault="0007206C" w:rsidP="00AC2A69">
      <w:pPr>
        <w:pStyle w:val="Blockquote"/>
        <w:ind w:left="709" w:right="1"/>
        <w:jc w:val="both"/>
        <w:rPr>
          <w:sz w:val="22"/>
          <w:szCs w:val="22"/>
          <w:lang w:val="en-GB"/>
        </w:rPr>
      </w:pPr>
      <w:r w:rsidRPr="00D9301F">
        <w:rPr>
          <w:sz w:val="22"/>
          <w:szCs w:val="22"/>
        </w:rPr>
        <w:lastRenderedPageBreak/>
        <w:t>No tender guarantee is required.</w:t>
      </w:r>
    </w:p>
    <w:p w14:paraId="10ADEF80" w14:textId="77777777" w:rsidR="00E23824" w:rsidRPr="00D9301F" w:rsidRDefault="00E23824" w:rsidP="00AC2A69">
      <w:pPr>
        <w:keepNext/>
        <w:keepLines/>
        <w:numPr>
          <w:ilvl w:val="0"/>
          <w:numId w:val="35"/>
        </w:numPr>
        <w:tabs>
          <w:tab w:val="clear" w:pos="644"/>
          <w:tab w:val="num" w:pos="709"/>
        </w:tabs>
        <w:ind w:left="709" w:right="1" w:hanging="425"/>
        <w:outlineLvl w:val="0"/>
        <w:rPr>
          <w:rStyle w:val="Naglaeno"/>
          <w:szCs w:val="24"/>
          <w:lang w:val="en-GB"/>
        </w:rPr>
      </w:pPr>
      <w:r w:rsidRPr="00D9301F">
        <w:rPr>
          <w:rStyle w:val="Naglaeno"/>
          <w:szCs w:val="24"/>
          <w:lang w:val="en-GB"/>
        </w:rPr>
        <w:t>Performance guarantee</w:t>
      </w:r>
    </w:p>
    <w:p w14:paraId="213F7760" w14:textId="51AD4895" w:rsidR="00505A18" w:rsidRPr="00D9301F" w:rsidRDefault="00386BD4" w:rsidP="00AC2A69">
      <w:pPr>
        <w:spacing w:before="0" w:after="120"/>
        <w:ind w:left="709" w:right="1"/>
        <w:jc w:val="both"/>
        <w:rPr>
          <w:sz w:val="22"/>
          <w:szCs w:val="22"/>
          <w:lang w:val="en-GB"/>
        </w:rPr>
      </w:pPr>
      <w:r w:rsidRPr="00D9301F">
        <w:rPr>
          <w:sz w:val="22"/>
          <w:szCs w:val="22"/>
        </w:rPr>
        <w:t>The successful tenderer will be asked to provide a performance guarantee of 5 % of the amount of the contract at the signing of the contract. This guarantee must be provided together with the return of the countersigned contract no later than 30 days after the tenderer receives the contract signed by the Project partner. If the selected tenderer fails to provide such a guarantee within this period, the contract will be void and a new contract may be drawn up and sent to the tenderer which has submitted the next cheapest compliant tender.</w:t>
      </w:r>
    </w:p>
    <w:p w14:paraId="1AD3685B" w14:textId="77777777" w:rsidR="00E23824" w:rsidRPr="00D9301F" w:rsidRDefault="00E23824" w:rsidP="00AF3DC9">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Information meeting and/or site visit</w:t>
      </w:r>
    </w:p>
    <w:p w14:paraId="3B5733AA" w14:textId="01379C25" w:rsidR="00E23824" w:rsidRPr="00D9301F" w:rsidRDefault="00E23824" w:rsidP="00AF3DC9">
      <w:pPr>
        <w:pStyle w:val="Blockquote"/>
        <w:ind w:left="709"/>
        <w:rPr>
          <w:sz w:val="22"/>
          <w:szCs w:val="22"/>
          <w:lang w:val="en-GB"/>
        </w:rPr>
      </w:pPr>
      <w:r w:rsidRPr="00D9301F">
        <w:rPr>
          <w:sz w:val="22"/>
          <w:szCs w:val="22"/>
          <w:lang w:val="en-GB"/>
        </w:rPr>
        <w:t>No information meeting is planned</w:t>
      </w:r>
      <w:r w:rsidR="000853AF" w:rsidRPr="00D9301F">
        <w:rPr>
          <w:sz w:val="22"/>
          <w:szCs w:val="22"/>
          <w:lang w:val="en-GB"/>
        </w:rPr>
        <w:t>.</w:t>
      </w:r>
    </w:p>
    <w:p w14:paraId="12338975" w14:textId="77777777" w:rsidR="00E23824" w:rsidRPr="00D9301F" w:rsidRDefault="00E23824" w:rsidP="00AF3DC9">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Tender validity</w:t>
      </w:r>
    </w:p>
    <w:p w14:paraId="5E2CFF2E" w14:textId="77777777" w:rsidR="00E23824" w:rsidRPr="00D9301F" w:rsidRDefault="00E23824" w:rsidP="00AC2A69">
      <w:pPr>
        <w:pStyle w:val="Blockquote"/>
        <w:ind w:left="709" w:right="1"/>
        <w:jc w:val="both"/>
        <w:rPr>
          <w:sz w:val="22"/>
          <w:szCs w:val="22"/>
          <w:lang w:val="en-GB"/>
        </w:rPr>
      </w:pPr>
      <w:r w:rsidRPr="00D9301F">
        <w:rPr>
          <w:sz w:val="22"/>
          <w:szCs w:val="22"/>
          <w:lang w:val="en-GB"/>
        </w:rPr>
        <w:t>Tenders must remain valid for a period of 90 days after the deadline for submission of tenders.</w:t>
      </w:r>
      <w:r w:rsidR="007A042A" w:rsidRPr="00D9301F">
        <w:rPr>
          <w:sz w:val="22"/>
          <w:szCs w:val="22"/>
          <w:lang w:val="en-GB"/>
        </w:rPr>
        <w:t xml:space="preserve"> </w:t>
      </w:r>
      <w:r w:rsidR="0003151B" w:rsidRPr="00D9301F">
        <w:rPr>
          <w:sz w:val="22"/>
          <w:szCs w:val="22"/>
          <w:lang w:val="en-GB"/>
        </w:rPr>
        <w:t xml:space="preserve">In exceptional circumstances, the </w:t>
      </w:r>
      <w:r w:rsidR="00EC6129" w:rsidRPr="00D9301F">
        <w:rPr>
          <w:sz w:val="22"/>
          <w:szCs w:val="22"/>
          <w:lang w:val="en-GB"/>
        </w:rPr>
        <w:t>Project partner</w:t>
      </w:r>
      <w:r w:rsidR="0003151B" w:rsidRPr="00D9301F">
        <w:rPr>
          <w:sz w:val="22"/>
          <w:szCs w:val="22"/>
          <w:lang w:val="en-GB"/>
        </w:rPr>
        <w:t xml:space="preserve"> may, before the validity period expires, request that tenderers extend the validity of tenders for a specific period (see para 8.2 of the instructions to tenderers).</w:t>
      </w:r>
    </w:p>
    <w:p w14:paraId="7F4671F5" w14:textId="77777777" w:rsidR="00E23824" w:rsidRPr="00D9301F" w:rsidRDefault="00E23824" w:rsidP="00AF3DC9">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 xml:space="preserve">Period of </w:t>
      </w:r>
      <w:r w:rsidR="00AF46E5" w:rsidRPr="00D9301F">
        <w:rPr>
          <w:rStyle w:val="Naglaeno"/>
          <w:szCs w:val="24"/>
          <w:lang w:val="en-GB"/>
        </w:rPr>
        <w:t xml:space="preserve">implementation </w:t>
      </w:r>
      <w:r w:rsidR="00065477" w:rsidRPr="00D9301F">
        <w:rPr>
          <w:rStyle w:val="Naglaeno"/>
          <w:szCs w:val="24"/>
          <w:lang w:val="en-GB"/>
        </w:rPr>
        <w:t>of tasks</w:t>
      </w:r>
    </w:p>
    <w:p w14:paraId="3A1AA2DA" w14:textId="58DA9C08" w:rsidR="0010140A" w:rsidRPr="00D9301F" w:rsidRDefault="00421004" w:rsidP="00AC2A69">
      <w:pPr>
        <w:pStyle w:val="Blockquote"/>
        <w:ind w:left="709" w:right="1"/>
        <w:jc w:val="both"/>
        <w:rPr>
          <w:sz w:val="22"/>
          <w:szCs w:val="22"/>
          <w:lang w:val="en-GB"/>
        </w:rPr>
      </w:pPr>
      <w:r w:rsidRPr="00D9301F">
        <w:rPr>
          <w:sz w:val="22"/>
          <w:szCs w:val="22"/>
          <w:lang w:val="en-GB"/>
        </w:rPr>
        <w:t>45</w:t>
      </w:r>
      <w:r w:rsidR="0010140A" w:rsidRPr="00D9301F">
        <w:rPr>
          <w:sz w:val="22"/>
          <w:szCs w:val="22"/>
          <w:lang w:val="en-GB"/>
        </w:rPr>
        <w:t xml:space="preserve"> days from contract signature</w:t>
      </w:r>
    </w:p>
    <w:p w14:paraId="55DD880E" w14:textId="77777777" w:rsidR="00E23824" w:rsidRPr="00D9301F" w:rsidRDefault="00E23824">
      <w:pPr>
        <w:ind w:left="360"/>
        <w:jc w:val="center"/>
        <w:rPr>
          <w:rStyle w:val="Naglaeno"/>
          <w:sz w:val="28"/>
          <w:szCs w:val="28"/>
          <w:lang w:val="en-GB"/>
        </w:rPr>
      </w:pPr>
      <w:r w:rsidRPr="00D9301F">
        <w:rPr>
          <w:rStyle w:val="Naglaeno"/>
          <w:sz w:val="28"/>
          <w:szCs w:val="28"/>
          <w:lang w:val="en-GB"/>
        </w:rPr>
        <w:t>SELECTION AND AWARD CRITERIA</w:t>
      </w:r>
    </w:p>
    <w:p w14:paraId="2EB9657E" w14:textId="77777777" w:rsidR="00E23824" w:rsidRPr="00D9301F" w:rsidRDefault="00E23824" w:rsidP="00AF3DC9">
      <w:pPr>
        <w:numPr>
          <w:ilvl w:val="0"/>
          <w:numId w:val="35"/>
        </w:numPr>
        <w:tabs>
          <w:tab w:val="clear" w:pos="644"/>
          <w:tab w:val="num" w:pos="709"/>
        </w:tabs>
        <w:ind w:left="709" w:hanging="425"/>
        <w:outlineLvl w:val="0"/>
        <w:rPr>
          <w:rStyle w:val="Naglaeno"/>
          <w:szCs w:val="24"/>
          <w:lang w:val="en-GB"/>
        </w:rPr>
      </w:pPr>
      <w:r w:rsidRPr="00D9301F">
        <w:rPr>
          <w:rStyle w:val="Naglaeno"/>
          <w:szCs w:val="24"/>
          <w:lang w:val="en-GB"/>
        </w:rPr>
        <w:t>Selection criteria</w:t>
      </w:r>
      <w:r w:rsidR="002A5E19" w:rsidRPr="00D9301F">
        <w:rPr>
          <w:rStyle w:val="Naglaeno"/>
          <w:szCs w:val="24"/>
          <w:lang w:val="en-GB"/>
        </w:rPr>
        <w:t xml:space="preserve"> </w:t>
      </w:r>
    </w:p>
    <w:p w14:paraId="2A3A1E8C" w14:textId="77777777" w:rsidR="005B13FB" w:rsidRPr="00D9301F" w:rsidRDefault="005B13FB" w:rsidP="00AF3DC9">
      <w:pPr>
        <w:pStyle w:val="Blockquote"/>
        <w:ind w:left="709"/>
        <w:jc w:val="both"/>
        <w:rPr>
          <w:sz w:val="22"/>
          <w:szCs w:val="22"/>
          <w:lang w:val="en-GB"/>
        </w:rPr>
      </w:pPr>
      <w:r w:rsidRPr="00D9301F">
        <w:rPr>
          <w:sz w:val="22"/>
          <w:szCs w:val="22"/>
          <w:lang w:val="en-GB"/>
        </w:rPr>
        <w:t>The following selection criteria will be applied to tenderers.</w:t>
      </w:r>
      <w:r w:rsidR="00F274BD" w:rsidRPr="00D9301F">
        <w:rPr>
          <w:sz w:val="22"/>
          <w:szCs w:val="22"/>
          <w:lang w:val="en-GB"/>
        </w:rPr>
        <w:t xml:space="preserve"> </w:t>
      </w:r>
      <w:r w:rsidRPr="00D9301F">
        <w:rPr>
          <w:sz w:val="22"/>
          <w:szCs w:val="22"/>
          <w:lang w:val="en-GB"/>
        </w:rPr>
        <w:t>In the case of tenders submitted by a consortium, these selection criteria will be applied to the consortium as a whole</w:t>
      </w:r>
      <w:r w:rsidR="000739E4" w:rsidRPr="00D9301F">
        <w:t xml:space="preserve"> </w:t>
      </w:r>
      <w:r w:rsidR="008D6E19" w:rsidRPr="00D9301F">
        <w:t>unless</w:t>
      </w:r>
      <w:r w:rsidR="000739E4" w:rsidRPr="00D9301F">
        <w:rPr>
          <w:sz w:val="22"/>
          <w:szCs w:val="22"/>
          <w:lang w:val="en-GB"/>
        </w:rPr>
        <w:t xml:space="preserve"> specified otherwise</w:t>
      </w:r>
      <w:r w:rsidR="008A3391" w:rsidRPr="00D9301F">
        <w:rPr>
          <w:sz w:val="22"/>
          <w:szCs w:val="22"/>
          <w:lang w:val="en-GB"/>
        </w:rPr>
        <w:t>. The selection criteria will not be applied to natural persons and single-member companies when they are sub-contractors</w:t>
      </w:r>
      <w:r w:rsidRPr="00D9301F">
        <w:rPr>
          <w:sz w:val="22"/>
          <w:szCs w:val="22"/>
          <w:lang w:val="en-GB"/>
        </w:rPr>
        <w:t>:</w:t>
      </w:r>
    </w:p>
    <w:p w14:paraId="12B2ACFE" w14:textId="2A6A868D" w:rsidR="00D4238C" w:rsidRPr="00D9301F" w:rsidRDefault="005B13FB" w:rsidP="0010140A">
      <w:pPr>
        <w:pStyle w:val="Blockquote"/>
        <w:numPr>
          <w:ilvl w:val="0"/>
          <w:numId w:val="46"/>
        </w:numPr>
        <w:ind w:right="357"/>
        <w:jc w:val="both"/>
        <w:rPr>
          <w:sz w:val="22"/>
          <w:szCs w:val="22"/>
          <w:lang w:val="en-GB"/>
        </w:rPr>
      </w:pPr>
      <w:r w:rsidRPr="00D9301F">
        <w:rPr>
          <w:b/>
          <w:sz w:val="22"/>
          <w:szCs w:val="22"/>
          <w:lang w:val="en-GB"/>
        </w:rPr>
        <w:t xml:space="preserve">Economic and financial </w:t>
      </w:r>
      <w:r w:rsidR="00EA5A37" w:rsidRPr="00D9301F">
        <w:rPr>
          <w:b/>
          <w:sz w:val="22"/>
          <w:szCs w:val="22"/>
          <w:lang w:val="en-GB"/>
        </w:rPr>
        <w:t>capacity</w:t>
      </w:r>
      <w:r w:rsidRPr="00D9301F">
        <w:rPr>
          <w:sz w:val="22"/>
          <w:szCs w:val="22"/>
          <w:lang w:val="en-GB"/>
        </w:rPr>
        <w:t xml:space="preserve"> of </w:t>
      </w:r>
      <w:r w:rsidR="00EA5A37" w:rsidRPr="00D9301F">
        <w:rPr>
          <w:sz w:val="22"/>
          <w:szCs w:val="22"/>
          <w:lang w:val="en-GB"/>
        </w:rPr>
        <w:t>tenderer</w:t>
      </w:r>
      <w:r w:rsidRPr="00D9301F">
        <w:rPr>
          <w:i/>
          <w:sz w:val="22"/>
          <w:szCs w:val="22"/>
          <w:lang w:val="en-GB"/>
        </w:rPr>
        <w:t xml:space="preserve"> </w:t>
      </w:r>
      <w:r w:rsidR="00021ECF" w:rsidRPr="00D9301F">
        <w:rPr>
          <w:sz w:val="22"/>
          <w:szCs w:val="22"/>
          <w:lang w:val="en-GB"/>
        </w:rPr>
        <w:t>(</w:t>
      </w:r>
      <w:r w:rsidRPr="00D9301F">
        <w:rPr>
          <w:sz w:val="22"/>
          <w:szCs w:val="22"/>
          <w:lang w:val="en-GB"/>
        </w:rPr>
        <w:t xml:space="preserve">based on </w:t>
      </w:r>
      <w:r w:rsidR="00A77260" w:rsidRPr="00D9301F">
        <w:rPr>
          <w:sz w:val="22"/>
          <w:szCs w:val="22"/>
          <w:lang w:val="en-GB"/>
        </w:rPr>
        <w:t>i.a.</w:t>
      </w:r>
      <w:r w:rsidR="00286429" w:rsidRPr="00D9301F">
        <w:rPr>
          <w:sz w:val="22"/>
          <w:szCs w:val="22"/>
          <w:lang w:val="en-GB"/>
        </w:rPr>
        <w:t xml:space="preserve"> </w:t>
      </w:r>
      <w:r w:rsidRPr="00D9301F">
        <w:rPr>
          <w:sz w:val="22"/>
          <w:szCs w:val="22"/>
          <w:lang w:val="en-GB"/>
        </w:rPr>
        <w:t xml:space="preserve">item 3 of the </w:t>
      </w:r>
      <w:r w:rsidR="00A77260" w:rsidRPr="00D9301F">
        <w:rPr>
          <w:sz w:val="22"/>
          <w:szCs w:val="22"/>
          <w:lang w:val="en-GB"/>
        </w:rPr>
        <w:t>Tender Form for a Supply Contract</w:t>
      </w:r>
      <w:r w:rsidR="00021ECF" w:rsidRPr="00D9301F">
        <w:rPr>
          <w:sz w:val="22"/>
          <w:szCs w:val="22"/>
          <w:lang w:val="en-GB"/>
        </w:rPr>
        <w:t>)</w:t>
      </w:r>
      <w:r w:rsidR="003479A1" w:rsidRPr="00D9301F">
        <w:rPr>
          <w:sz w:val="22"/>
          <w:szCs w:val="22"/>
          <w:lang w:val="en-GB"/>
        </w:rPr>
        <w:t xml:space="preserve">. In case of </w:t>
      </w:r>
      <w:r w:rsidR="005067DE" w:rsidRPr="00D9301F">
        <w:rPr>
          <w:sz w:val="22"/>
          <w:szCs w:val="22"/>
          <w:lang w:val="en-GB"/>
        </w:rPr>
        <w:t>tenderer</w:t>
      </w:r>
      <w:r w:rsidR="003479A1" w:rsidRPr="00D9301F">
        <w:rPr>
          <w:sz w:val="22"/>
          <w:szCs w:val="22"/>
          <w:lang w:val="en-GB"/>
        </w:rPr>
        <w:t xml:space="preserve"> being a public body, equivalent information should be provided.</w:t>
      </w:r>
      <w:r w:rsidR="00D4238C" w:rsidRPr="00D9301F">
        <w:rPr>
          <w:sz w:val="22"/>
          <w:szCs w:val="22"/>
          <w:lang w:val="en-GB"/>
        </w:rPr>
        <w:t xml:space="preserve"> The reference period which will be taken into account will be the last three years for which accounts have been closed.</w:t>
      </w:r>
    </w:p>
    <w:p w14:paraId="1A4D86A9" w14:textId="77777777" w:rsidR="0010140A" w:rsidRPr="00D9301F" w:rsidRDefault="0010140A" w:rsidP="0010140A">
      <w:pPr>
        <w:pStyle w:val="Blockquote"/>
        <w:ind w:left="1210" w:right="357"/>
        <w:jc w:val="both"/>
        <w:rPr>
          <w:sz w:val="22"/>
          <w:szCs w:val="22"/>
          <w:u w:val="single"/>
          <w:lang w:val="en-GB"/>
        </w:rPr>
      </w:pPr>
      <w:r w:rsidRPr="00D9301F">
        <w:rPr>
          <w:sz w:val="22"/>
          <w:szCs w:val="22"/>
          <w:lang w:val="en-GB"/>
        </w:rPr>
        <w:t>•</w:t>
      </w:r>
      <w:r w:rsidRPr="00D9301F">
        <w:rPr>
          <w:sz w:val="22"/>
          <w:szCs w:val="22"/>
          <w:lang w:val="en-GB"/>
        </w:rPr>
        <w:tab/>
      </w:r>
      <w:r w:rsidRPr="00D9301F">
        <w:rPr>
          <w:sz w:val="22"/>
          <w:szCs w:val="22"/>
          <w:u w:val="single"/>
          <w:lang w:val="en-GB"/>
        </w:rPr>
        <w:t xml:space="preserve">the average annual turnover of the tenderer in the past 3 years must exceed the annualised maximum budget of the contract </w:t>
      </w:r>
    </w:p>
    <w:p w14:paraId="4FE54A91" w14:textId="2B33B6BF" w:rsidR="0010140A" w:rsidRPr="00D9301F" w:rsidRDefault="0010140A" w:rsidP="0010140A">
      <w:pPr>
        <w:pStyle w:val="Blockquote"/>
        <w:ind w:left="1210" w:right="357"/>
        <w:jc w:val="both"/>
        <w:rPr>
          <w:sz w:val="22"/>
          <w:szCs w:val="22"/>
          <w:lang w:val="en-GB"/>
        </w:rPr>
      </w:pPr>
      <w:r w:rsidRPr="00D9301F">
        <w:rPr>
          <w:sz w:val="22"/>
          <w:szCs w:val="22"/>
          <w:u w:val="single"/>
          <w:lang w:val="en-GB"/>
        </w:rPr>
        <w:t>•</w:t>
      </w:r>
      <w:r w:rsidRPr="00D9301F">
        <w:rPr>
          <w:sz w:val="22"/>
          <w:szCs w:val="22"/>
          <w:u w:val="single"/>
          <w:lang w:val="en-GB"/>
        </w:rPr>
        <w:tab/>
        <w:t>current ratio (current assets/current liabilities) in the last year for which accounts have been closed must be at least 1. In case of a consortium this criterion must be fulfilled by each member</w:t>
      </w:r>
      <w:r w:rsidRPr="00D9301F">
        <w:rPr>
          <w:sz w:val="22"/>
          <w:szCs w:val="22"/>
          <w:lang w:val="en-GB"/>
        </w:rPr>
        <w:t>.</w:t>
      </w:r>
    </w:p>
    <w:p w14:paraId="021AAE3F" w14:textId="44EDBFAF" w:rsidR="005B13FB" w:rsidRPr="00D9301F" w:rsidRDefault="0088725C" w:rsidP="00AC2A69">
      <w:pPr>
        <w:pStyle w:val="Blockquote"/>
        <w:ind w:left="1134" w:right="1" w:hanging="284"/>
        <w:jc w:val="both"/>
        <w:rPr>
          <w:sz w:val="22"/>
          <w:szCs w:val="22"/>
          <w:lang w:val="en-GB"/>
        </w:rPr>
      </w:pPr>
      <w:r w:rsidRPr="00D9301F">
        <w:rPr>
          <w:sz w:val="22"/>
          <w:szCs w:val="22"/>
          <w:lang w:val="en-GB"/>
        </w:rPr>
        <w:t>2)</w:t>
      </w:r>
      <w:r w:rsidRPr="00D9301F">
        <w:rPr>
          <w:sz w:val="22"/>
          <w:szCs w:val="22"/>
          <w:lang w:val="en-GB"/>
        </w:rPr>
        <w:tab/>
      </w:r>
      <w:r w:rsidR="005B13FB" w:rsidRPr="00D9301F">
        <w:rPr>
          <w:b/>
          <w:sz w:val="22"/>
          <w:szCs w:val="22"/>
          <w:lang w:val="en-GB"/>
        </w:rPr>
        <w:t>Professional capacity</w:t>
      </w:r>
      <w:r w:rsidR="005B13FB" w:rsidRPr="00D9301F">
        <w:rPr>
          <w:sz w:val="22"/>
          <w:szCs w:val="22"/>
          <w:lang w:val="en-GB"/>
        </w:rPr>
        <w:t xml:space="preserve"> of </w:t>
      </w:r>
      <w:r w:rsidR="00A77260" w:rsidRPr="00D9301F">
        <w:rPr>
          <w:sz w:val="22"/>
          <w:szCs w:val="22"/>
          <w:lang w:val="en-GB"/>
        </w:rPr>
        <w:t>tenderer</w:t>
      </w:r>
      <w:r w:rsidR="005B13FB" w:rsidRPr="00D9301F">
        <w:rPr>
          <w:sz w:val="22"/>
          <w:szCs w:val="22"/>
          <w:lang w:val="en-GB"/>
        </w:rPr>
        <w:t xml:space="preserve"> </w:t>
      </w:r>
      <w:r w:rsidR="00021ECF" w:rsidRPr="00D9301F">
        <w:rPr>
          <w:sz w:val="22"/>
          <w:szCs w:val="22"/>
          <w:lang w:val="en-GB"/>
        </w:rPr>
        <w:t>(</w:t>
      </w:r>
      <w:r w:rsidR="005B13FB" w:rsidRPr="00D9301F">
        <w:rPr>
          <w:sz w:val="22"/>
          <w:szCs w:val="22"/>
          <w:lang w:val="en-GB"/>
        </w:rPr>
        <w:t xml:space="preserve">based on </w:t>
      </w:r>
      <w:r w:rsidR="00A77260" w:rsidRPr="00D9301F">
        <w:rPr>
          <w:sz w:val="22"/>
          <w:szCs w:val="22"/>
          <w:lang w:val="en-GB"/>
        </w:rPr>
        <w:t>i.a.</w:t>
      </w:r>
      <w:r w:rsidR="00021ECF" w:rsidRPr="00D9301F">
        <w:rPr>
          <w:sz w:val="22"/>
          <w:szCs w:val="22"/>
          <w:lang w:val="en-GB"/>
        </w:rPr>
        <w:t xml:space="preserve"> </w:t>
      </w:r>
      <w:r w:rsidR="005B13FB" w:rsidRPr="00D9301F">
        <w:rPr>
          <w:sz w:val="22"/>
          <w:szCs w:val="22"/>
          <w:lang w:val="en-GB"/>
        </w:rPr>
        <w:t xml:space="preserve">items 4 and 5 of the </w:t>
      </w:r>
      <w:r w:rsidR="00A77260" w:rsidRPr="00D9301F">
        <w:rPr>
          <w:sz w:val="22"/>
          <w:szCs w:val="22"/>
          <w:lang w:val="en-GB"/>
        </w:rPr>
        <w:t>Tender Form for a Supply Contract</w:t>
      </w:r>
      <w:r w:rsidR="00021ECF" w:rsidRPr="00D9301F">
        <w:rPr>
          <w:sz w:val="22"/>
          <w:szCs w:val="22"/>
          <w:lang w:val="en-GB"/>
        </w:rPr>
        <w:t>)</w:t>
      </w:r>
      <w:r w:rsidR="00D4238C" w:rsidRPr="00D9301F">
        <w:rPr>
          <w:sz w:val="22"/>
          <w:szCs w:val="22"/>
          <w:lang w:val="en-GB"/>
        </w:rPr>
        <w:t xml:space="preserve">. The reference period which will be taken into account will be the </w:t>
      </w:r>
      <w:r w:rsidR="0010140A" w:rsidRPr="00D9301F">
        <w:rPr>
          <w:sz w:val="22"/>
          <w:szCs w:val="22"/>
          <w:lang w:val="en-GB"/>
        </w:rPr>
        <w:t xml:space="preserve">last 5 </w:t>
      </w:r>
      <w:r w:rsidR="00D4238C" w:rsidRPr="00D9301F">
        <w:rPr>
          <w:sz w:val="22"/>
          <w:szCs w:val="22"/>
          <w:lang w:val="en-GB"/>
        </w:rPr>
        <w:t>years from submission deadline.</w:t>
      </w:r>
    </w:p>
    <w:p w14:paraId="1E0F9B42" w14:textId="77777777" w:rsidR="007A1122" w:rsidRPr="00D9301F" w:rsidRDefault="0010140A" w:rsidP="0010140A">
      <w:pPr>
        <w:pStyle w:val="Blockquote"/>
        <w:ind w:left="1418" w:right="1" w:hanging="284"/>
        <w:jc w:val="both"/>
        <w:rPr>
          <w:sz w:val="22"/>
          <w:szCs w:val="22"/>
          <w:u w:val="single"/>
          <w:lang w:val="en-GB"/>
        </w:rPr>
      </w:pPr>
      <w:r w:rsidRPr="00D9301F">
        <w:rPr>
          <w:sz w:val="22"/>
          <w:szCs w:val="22"/>
          <w:lang w:val="es-ES"/>
        </w:rPr>
        <w:lastRenderedPageBreak/>
        <w:t>•</w:t>
      </w:r>
      <w:r w:rsidRPr="00D9301F">
        <w:rPr>
          <w:sz w:val="22"/>
          <w:szCs w:val="22"/>
          <w:u w:val="single"/>
          <w:lang w:val="es-ES"/>
        </w:rPr>
        <w:tab/>
      </w:r>
      <w:r w:rsidRPr="00D9301F">
        <w:rPr>
          <w:sz w:val="22"/>
          <w:szCs w:val="22"/>
          <w:u w:val="single"/>
          <w:lang w:val="en-GB"/>
        </w:rPr>
        <w:t xml:space="preserve">at least 2 staff currently work for the tenderer in fields related to this contract; </w:t>
      </w:r>
    </w:p>
    <w:p w14:paraId="4FBA3561" w14:textId="0B3351D4" w:rsidR="0010140A" w:rsidRPr="00D9301F" w:rsidRDefault="007A1122" w:rsidP="007A1122">
      <w:pPr>
        <w:pStyle w:val="Blockquote"/>
        <w:numPr>
          <w:ilvl w:val="0"/>
          <w:numId w:val="48"/>
        </w:numPr>
        <w:ind w:right="1"/>
        <w:jc w:val="both"/>
        <w:rPr>
          <w:sz w:val="22"/>
          <w:szCs w:val="22"/>
          <w:u w:val="single"/>
          <w:lang w:val="es-ES"/>
        </w:rPr>
      </w:pPr>
      <w:r w:rsidRPr="00D9301F">
        <w:rPr>
          <w:sz w:val="22"/>
          <w:szCs w:val="22"/>
          <w:u w:val="single"/>
          <w:lang w:val="en-GB"/>
        </w:rPr>
        <w:t xml:space="preserve">Has a valid registration for the trade of medical equipment, </w:t>
      </w:r>
      <w:r w:rsidR="0010140A" w:rsidRPr="00D9301F">
        <w:rPr>
          <w:sz w:val="22"/>
          <w:szCs w:val="22"/>
          <w:u w:val="single"/>
          <w:lang w:val="en-GB"/>
        </w:rPr>
        <w:t>and</w:t>
      </w:r>
    </w:p>
    <w:p w14:paraId="04B91227" w14:textId="4995D7B5" w:rsidR="005B13FB" w:rsidRPr="00D9301F" w:rsidRDefault="0088725C" w:rsidP="0010140A">
      <w:pPr>
        <w:pStyle w:val="Blockquote"/>
        <w:ind w:left="1134" w:right="1" w:hanging="284"/>
        <w:jc w:val="both"/>
        <w:rPr>
          <w:sz w:val="22"/>
          <w:szCs w:val="22"/>
          <w:lang w:val="en-GB"/>
        </w:rPr>
      </w:pPr>
      <w:r w:rsidRPr="00D9301F">
        <w:rPr>
          <w:sz w:val="22"/>
          <w:szCs w:val="22"/>
          <w:lang w:val="en-GB"/>
        </w:rPr>
        <w:t>3)</w:t>
      </w:r>
      <w:r w:rsidRPr="00D9301F">
        <w:rPr>
          <w:sz w:val="22"/>
          <w:szCs w:val="22"/>
          <w:lang w:val="en-GB"/>
        </w:rPr>
        <w:tab/>
      </w:r>
      <w:r w:rsidR="005B13FB" w:rsidRPr="00D9301F">
        <w:rPr>
          <w:b/>
          <w:sz w:val="22"/>
          <w:szCs w:val="22"/>
          <w:lang w:val="en-GB"/>
        </w:rPr>
        <w:t xml:space="preserve">Technical capacity </w:t>
      </w:r>
      <w:r w:rsidR="005B13FB" w:rsidRPr="00D9301F">
        <w:rPr>
          <w:sz w:val="22"/>
          <w:szCs w:val="22"/>
          <w:lang w:val="en-GB"/>
        </w:rPr>
        <w:t xml:space="preserve">of </w:t>
      </w:r>
      <w:r w:rsidR="00FF0FFC" w:rsidRPr="00D9301F">
        <w:rPr>
          <w:sz w:val="22"/>
          <w:szCs w:val="22"/>
          <w:lang w:val="en-GB"/>
        </w:rPr>
        <w:t>tenderer</w:t>
      </w:r>
      <w:r w:rsidR="005B13FB" w:rsidRPr="00D9301F">
        <w:rPr>
          <w:sz w:val="22"/>
          <w:szCs w:val="22"/>
          <w:lang w:val="en-GB"/>
        </w:rPr>
        <w:t xml:space="preserve"> </w:t>
      </w:r>
      <w:r w:rsidR="00021ECF" w:rsidRPr="00D9301F">
        <w:rPr>
          <w:i/>
          <w:sz w:val="22"/>
          <w:szCs w:val="22"/>
          <w:lang w:val="en-GB"/>
        </w:rPr>
        <w:t>(</w:t>
      </w:r>
      <w:r w:rsidR="005B13FB" w:rsidRPr="00D9301F">
        <w:rPr>
          <w:sz w:val="22"/>
          <w:szCs w:val="22"/>
          <w:lang w:val="en-GB"/>
        </w:rPr>
        <w:t xml:space="preserve">based on </w:t>
      </w:r>
      <w:r w:rsidR="00FF0FFC" w:rsidRPr="00D9301F">
        <w:rPr>
          <w:sz w:val="22"/>
          <w:szCs w:val="22"/>
          <w:lang w:val="en-GB"/>
        </w:rPr>
        <w:t xml:space="preserve">i.a. </w:t>
      </w:r>
      <w:r w:rsidR="005B13FB" w:rsidRPr="00D9301F">
        <w:rPr>
          <w:sz w:val="22"/>
          <w:szCs w:val="22"/>
          <w:lang w:val="en-GB"/>
        </w:rPr>
        <w:t xml:space="preserve">items 5 and 6 of the </w:t>
      </w:r>
      <w:r w:rsidR="00FF0FFC" w:rsidRPr="00D9301F">
        <w:rPr>
          <w:sz w:val="22"/>
          <w:szCs w:val="22"/>
          <w:lang w:val="en-GB"/>
        </w:rPr>
        <w:t>Tender Form for a Supply Contract</w:t>
      </w:r>
      <w:r w:rsidR="00021ECF" w:rsidRPr="00D9301F">
        <w:rPr>
          <w:sz w:val="22"/>
          <w:szCs w:val="22"/>
          <w:lang w:val="en-GB"/>
        </w:rPr>
        <w:t>)</w:t>
      </w:r>
      <w:r w:rsidR="00D4238C" w:rsidRPr="00D9301F">
        <w:rPr>
          <w:sz w:val="22"/>
          <w:szCs w:val="22"/>
          <w:lang w:val="en-GB"/>
        </w:rPr>
        <w:t xml:space="preserve">. The reference period which will be taken into account will be the last </w:t>
      </w:r>
      <w:r w:rsidR="0010140A" w:rsidRPr="00D9301F">
        <w:rPr>
          <w:sz w:val="22"/>
          <w:szCs w:val="22"/>
          <w:lang w:val="en-GB"/>
        </w:rPr>
        <w:t>5</w:t>
      </w:r>
      <w:r w:rsidR="00A90F89" w:rsidRPr="00D9301F">
        <w:rPr>
          <w:sz w:val="22"/>
          <w:szCs w:val="22"/>
          <w:lang w:val="en-GB"/>
        </w:rPr>
        <w:t xml:space="preserve"> </w:t>
      </w:r>
      <w:r w:rsidR="00D4238C" w:rsidRPr="00D9301F">
        <w:rPr>
          <w:sz w:val="22"/>
          <w:szCs w:val="22"/>
          <w:lang w:val="en-GB"/>
        </w:rPr>
        <w:t>years from submission deadline.</w:t>
      </w:r>
    </w:p>
    <w:p w14:paraId="3A7839BA" w14:textId="77777777" w:rsidR="00973479" w:rsidRPr="00D9301F" w:rsidRDefault="009176B7" w:rsidP="00AC2A69">
      <w:pPr>
        <w:pStyle w:val="Blockquote"/>
        <w:ind w:left="1134" w:right="1"/>
        <w:jc w:val="both"/>
        <w:rPr>
          <w:sz w:val="22"/>
          <w:szCs w:val="22"/>
        </w:rPr>
      </w:pPr>
      <w:r w:rsidRPr="00D9301F">
        <w:rPr>
          <w:sz w:val="22"/>
          <w:szCs w:val="22"/>
          <w:lang w:val="en-GB"/>
        </w:rPr>
        <w:t xml:space="preserve">This means that the </w:t>
      </w:r>
      <w:r w:rsidR="00D27C2B" w:rsidRPr="00D9301F">
        <w:rPr>
          <w:sz w:val="22"/>
          <w:szCs w:val="22"/>
          <w:lang w:val="en-GB"/>
        </w:rPr>
        <w:t>contract</w:t>
      </w:r>
      <w:r w:rsidRPr="00D9301F">
        <w:rPr>
          <w:sz w:val="22"/>
          <w:szCs w:val="22"/>
          <w:lang w:val="en-GB"/>
        </w:rPr>
        <w:t xml:space="preserve"> the tenderer refers to could have been started</w:t>
      </w:r>
      <w:r w:rsidR="007028AF" w:rsidRPr="00D9301F">
        <w:rPr>
          <w:sz w:val="22"/>
          <w:szCs w:val="22"/>
          <w:lang w:val="en-GB"/>
        </w:rPr>
        <w:t xml:space="preserve"> or </w:t>
      </w:r>
      <w:r w:rsidRPr="00D9301F">
        <w:rPr>
          <w:sz w:val="22"/>
          <w:szCs w:val="22"/>
          <w:lang w:val="en-GB"/>
        </w:rPr>
        <w:t>completed at any time during the indicated period but it does not necessarily have to be started and completed during that period, nor implemented during the entire period.</w:t>
      </w:r>
      <w:r w:rsidR="00FE54CE" w:rsidRPr="00D9301F">
        <w:rPr>
          <w:sz w:val="22"/>
          <w:szCs w:val="22"/>
        </w:rPr>
        <w:t xml:space="preserve"> </w:t>
      </w:r>
      <w:r w:rsidR="00FE737F" w:rsidRPr="00D9301F">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sidRPr="00D9301F">
        <w:rPr>
          <w:sz w:val="22"/>
          <w:szCs w:val="22"/>
        </w:rPr>
        <w:t xml:space="preserve"> </w:t>
      </w:r>
    </w:p>
    <w:p w14:paraId="67C946E9" w14:textId="6DDB7FFB" w:rsidR="000E41C0" w:rsidRPr="00D9301F" w:rsidRDefault="000E41C0" w:rsidP="00AC2A69">
      <w:pPr>
        <w:pStyle w:val="Blockquote"/>
        <w:keepLines/>
        <w:ind w:left="1134" w:right="1"/>
        <w:jc w:val="both"/>
        <w:rPr>
          <w:sz w:val="22"/>
          <w:szCs w:val="22"/>
          <w:u w:val="single"/>
          <w:lang w:val="en-GB"/>
        </w:rPr>
      </w:pPr>
      <w:bookmarkStart w:id="2" w:name="_Hlk186097523"/>
      <w:r w:rsidRPr="00D9301F">
        <w:rPr>
          <w:sz w:val="22"/>
          <w:szCs w:val="22"/>
          <w:u w:val="single"/>
          <w:lang w:val="en-GB"/>
        </w:rPr>
        <w:t xml:space="preserve">The tenderer has provided supply under at least </w:t>
      </w:r>
      <w:r w:rsidR="00B3769A" w:rsidRPr="00D9301F">
        <w:rPr>
          <w:sz w:val="22"/>
          <w:szCs w:val="22"/>
          <w:u w:val="single"/>
          <w:lang w:val="en-GB"/>
        </w:rPr>
        <w:t>one</w:t>
      </w:r>
      <w:r w:rsidRPr="00D9301F">
        <w:rPr>
          <w:sz w:val="22"/>
          <w:szCs w:val="22"/>
          <w:u w:val="single"/>
          <w:lang w:val="en-GB"/>
        </w:rPr>
        <w:t xml:space="preserve"> contract</w:t>
      </w:r>
      <w:r w:rsidR="00B3769A" w:rsidRPr="00D9301F">
        <w:rPr>
          <w:sz w:val="22"/>
          <w:szCs w:val="22"/>
          <w:u w:val="single"/>
          <w:lang w:val="en-GB"/>
        </w:rPr>
        <w:t xml:space="preserve"> </w:t>
      </w:r>
      <w:r w:rsidRPr="00D9301F">
        <w:rPr>
          <w:sz w:val="22"/>
          <w:szCs w:val="22"/>
          <w:u w:val="single"/>
          <w:lang w:val="en-GB"/>
        </w:rPr>
        <w:t xml:space="preserve">in the fields related to this contract implemented at any moment during the following period: </w:t>
      </w:r>
      <w:r w:rsidR="00223A4A" w:rsidRPr="00D9301F">
        <w:rPr>
          <w:sz w:val="22"/>
          <w:szCs w:val="22"/>
          <w:u w:val="single"/>
          <w:lang w:val="en-GB"/>
        </w:rPr>
        <w:t>13</w:t>
      </w:r>
      <w:r w:rsidRPr="00D9301F">
        <w:rPr>
          <w:sz w:val="22"/>
          <w:szCs w:val="22"/>
          <w:u w:val="single"/>
          <w:lang w:val="en-GB"/>
        </w:rPr>
        <w:t>/</w:t>
      </w:r>
      <w:r w:rsidR="00223A4A" w:rsidRPr="00D9301F">
        <w:rPr>
          <w:sz w:val="22"/>
          <w:szCs w:val="22"/>
          <w:u w:val="single"/>
          <w:lang w:val="en-GB"/>
        </w:rPr>
        <w:t>01</w:t>
      </w:r>
      <w:r w:rsidRPr="00D9301F">
        <w:rPr>
          <w:sz w:val="22"/>
          <w:szCs w:val="22"/>
          <w:u w:val="single"/>
          <w:lang w:val="en-GB"/>
        </w:rPr>
        <w:t>/20</w:t>
      </w:r>
      <w:r w:rsidR="00B3769A" w:rsidRPr="00D9301F">
        <w:rPr>
          <w:sz w:val="22"/>
          <w:szCs w:val="22"/>
          <w:u w:val="single"/>
          <w:lang w:val="en-GB"/>
        </w:rPr>
        <w:t>2</w:t>
      </w:r>
      <w:r w:rsidR="00223A4A" w:rsidRPr="00D9301F">
        <w:rPr>
          <w:sz w:val="22"/>
          <w:szCs w:val="22"/>
          <w:u w:val="single"/>
          <w:lang w:val="en-GB"/>
        </w:rPr>
        <w:t>1</w:t>
      </w:r>
      <w:r w:rsidRPr="00D9301F">
        <w:rPr>
          <w:sz w:val="22"/>
          <w:szCs w:val="22"/>
          <w:u w:val="single"/>
          <w:lang w:val="en-GB"/>
        </w:rPr>
        <w:t xml:space="preserve"> - </w:t>
      </w:r>
      <w:r w:rsidR="00223A4A" w:rsidRPr="00D9301F">
        <w:rPr>
          <w:sz w:val="22"/>
          <w:szCs w:val="22"/>
          <w:u w:val="single"/>
          <w:lang w:val="en-GB"/>
        </w:rPr>
        <w:t>12</w:t>
      </w:r>
      <w:r w:rsidRPr="00D9301F">
        <w:rPr>
          <w:sz w:val="22"/>
          <w:szCs w:val="22"/>
          <w:u w:val="single"/>
          <w:lang w:val="en-GB"/>
        </w:rPr>
        <w:t>/</w:t>
      </w:r>
      <w:r w:rsidR="00223A4A" w:rsidRPr="00D9301F">
        <w:rPr>
          <w:sz w:val="22"/>
          <w:szCs w:val="22"/>
          <w:u w:val="single"/>
          <w:lang w:val="en-GB"/>
        </w:rPr>
        <w:t>01</w:t>
      </w:r>
      <w:r w:rsidRPr="00D9301F">
        <w:rPr>
          <w:sz w:val="22"/>
          <w:szCs w:val="22"/>
          <w:u w:val="single"/>
          <w:lang w:val="en-GB"/>
        </w:rPr>
        <w:t>/202</w:t>
      </w:r>
      <w:bookmarkEnd w:id="2"/>
      <w:r w:rsidR="00223A4A" w:rsidRPr="00D9301F">
        <w:rPr>
          <w:sz w:val="22"/>
          <w:szCs w:val="22"/>
          <w:u w:val="single"/>
          <w:lang w:val="en-GB"/>
        </w:rPr>
        <w:t>6</w:t>
      </w:r>
      <w:r w:rsidRPr="00D9301F">
        <w:rPr>
          <w:sz w:val="22"/>
          <w:szCs w:val="22"/>
          <w:u w:val="single"/>
          <w:lang w:val="en-GB"/>
        </w:rPr>
        <w:t>.</w:t>
      </w:r>
    </w:p>
    <w:p w14:paraId="60C01F86" w14:textId="6A80BC6B" w:rsidR="00A90F89" w:rsidRPr="00D9301F" w:rsidRDefault="00A90F89" w:rsidP="00AC2A69">
      <w:pPr>
        <w:pStyle w:val="Blockquote"/>
        <w:keepLines/>
        <w:ind w:left="1134" w:right="1"/>
        <w:jc w:val="both"/>
        <w:rPr>
          <w:sz w:val="22"/>
          <w:szCs w:val="22"/>
          <w:lang w:val="en-GB"/>
        </w:rPr>
      </w:pPr>
      <w:r w:rsidRPr="00D9301F">
        <w:rPr>
          <w:sz w:val="22"/>
          <w:szCs w:val="22"/>
        </w:rPr>
        <w:t>Capacity-providing entities</w:t>
      </w:r>
      <w:r w:rsidRPr="00D9301F">
        <w:rPr>
          <w:sz w:val="22"/>
          <w:szCs w:val="22"/>
          <w:lang w:val="en-GB"/>
        </w:rPr>
        <w:t xml:space="preserve"> </w:t>
      </w:r>
    </w:p>
    <w:p w14:paraId="45864F91" w14:textId="77777777" w:rsidR="004008A2" w:rsidRPr="00D9301F" w:rsidRDefault="00560CD6" w:rsidP="00AC2A69">
      <w:pPr>
        <w:pStyle w:val="Blockquote"/>
        <w:keepLines/>
        <w:ind w:left="1134" w:right="1"/>
        <w:jc w:val="both"/>
        <w:rPr>
          <w:sz w:val="22"/>
          <w:szCs w:val="22"/>
          <w:lang w:val="en-GB"/>
        </w:rPr>
      </w:pPr>
      <w:r w:rsidRPr="00D9301F">
        <w:rPr>
          <w:sz w:val="22"/>
          <w:szCs w:val="22"/>
          <w:lang w:val="en-GB"/>
        </w:rPr>
        <w:t xml:space="preserve">An economic operator may, where appropriate and for a particular contract, rely on the capacities of other entities, regardless of the legal nature of the links which it has with them. </w:t>
      </w:r>
      <w:r w:rsidR="009F4A26" w:rsidRPr="00D9301F">
        <w:rPr>
          <w:sz w:val="22"/>
          <w:szCs w:val="22"/>
          <w:lang w:val="en-GB"/>
        </w:rPr>
        <w:t xml:space="preserve">Some examples of when it may not be considered appropriate by the </w:t>
      </w:r>
      <w:r w:rsidR="00EC6129" w:rsidRPr="00D9301F">
        <w:rPr>
          <w:sz w:val="22"/>
          <w:szCs w:val="22"/>
          <w:lang w:val="en-GB"/>
        </w:rPr>
        <w:t>Project partner</w:t>
      </w:r>
      <w:r w:rsidR="009F4A26" w:rsidRPr="00D9301F">
        <w:rPr>
          <w:sz w:val="22"/>
          <w:szCs w:val="22"/>
          <w:lang w:val="en-GB"/>
        </w:rPr>
        <w:t xml:space="preserve"> are when the tender rely in majority on the capacities of other entities or when they rely on key criteria. If the tender rely on other entities it</w:t>
      </w:r>
      <w:r w:rsidRPr="00D9301F">
        <w:rPr>
          <w:sz w:val="22"/>
          <w:szCs w:val="22"/>
          <w:lang w:val="en-GB"/>
        </w:rPr>
        <w:t xml:space="preserve"> must prove to the </w:t>
      </w:r>
      <w:r w:rsidR="00EC6129" w:rsidRPr="00D9301F">
        <w:rPr>
          <w:sz w:val="22"/>
          <w:szCs w:val="22"/>
          <w:lang w:val="en-GB"/>
        </w:rPr>
        <w:t>Project partner</w:t>
      </w:r>
      <w:r w:rsidRPr="00D9301F">
        <w:rPr>
          <w:sz w:val="22"/>
          <w:szCs w:val="22"/>
          <w:lang w:val="en-GB"/>
        </w:rPr>
        <w:t xml:space="preserve"> that it will have at its disposal the resources necessary for performance of the contract, for example by producing a</w:t>
      </w:r>
      <w:r w:rsidR="00A90F89" w:rsidRPr="00D9301F">
        <w:rPr>
          <w:sz w:val="22"/>
          <w:szCs w:val="22"/>
          <w:lang w:val="en-GB"/>
        </w:rPr>
        <w:t xml:space="preserve"> </w:t>
      </w:r>
      <w:r w:rsidR="00A90F89" w:rsidRPr="00D9301F">
        <w:rPr>
          <w:sz w:val="22"/>
          <w:szCs w:val="22"/>
        </w:rPr>
        <w:t xml:space="preserve">commitment </w:t>
      </w:r>
      <w:r w:rsidRPr="00D9301F">
        <w:rPr>
          <w:sz w:val="22"/>
          <w:szCs w:val="22"/>
          <w:lang w:val="en-GB"/>
        </w:rPr>
        <w:t xml:space="preserve">on the part of those entities to place those resources at its disposal. </w:t>
      </w:r>
      <w:r w:rsidR="004008A2" w:rsidRPr="00D9301F">
        <w:rPr>
          <w:sz w:val="22"/>
          <w:szCs w:val="22"/>
          <w:lang w:val="en-GB"/>
        </w:rPr>
        <w:t>Such entities</w:t>
      </w:r>
      <w:r w:rsidR="00A547F9" w:rsidRPr="00D9301F">
        <w:rPr>
          <w:sz w:val="22"/>
          <w:szCs w:val="22"/>
        </w:rPr>
        <w:t xml:space="preserve">, for instance the parent company of the economic operator, </w:t>
      </w:r>
      <w:r w:rsidR="004008A2" w:rsidRPr="00D9301F">
        <w:rPr>
          <w:sz w:val="22"/>
          <w:szCs w:val="22"/>
          <w:lang w:val="en-GB"/>
        </w:rPr>
        <w:t>must respect the same rules of eligibility and notably that of nationality, as the economic operator.</w:t>
      </w:r>
      <w:r w:rsidR="009F4A26" w:rsidRPr="00D9301F">
        <w:rPr>
          <w:sz w:val="22"/>
          <w:szCs w:val="22"/>
          <w:lang w:val="en-GB"/>
        </w:rPr>
        <w:t xml:space="preserve"> Furthermore, the data for this third entity for the relevant selection criterion should be included in the tender in a separate document. Proof of the capacity will also have to be furnished when requested by the </w:t>
      </w:r>
      <w:r w:rsidR="00EC6129" w:rsidRPr="00D9301F">
        <w:rPr>
          <w:sz w:val="22"/>
          <w:szCs w:val="22"/>
          <w:lang w:val="en-GB"/>
        </w:rPr>
        <w:t>Project partner</w:t>
      </w:r>
      <w:r w:rsidR="009F4A26" w:rsidRPr="00D9301F">
        <w:rPr>
          <w:sz w:val="22"/>
          <w:szCs w:val="22"/>
          <w:lang w:val="en-GB"/>
        </w:rPr>
        <w:t xml:space="preserve">. </w:t>
      </w:r>
    </w:p>
    <w:p w14:paraId="4CA74498" w14:textId="77777777" w:rsidR="00A90F89" w:rsidRPr="00D9301F" w:rsidRDefault="00A90F89" w:rsidP="00AC2A69">
      <w:pPr>
        <w:pStyle w:val="Blockquote"/>
        <w:keepLines/>
        <w:ind w:left="1134" w:right="1"/>
        <w:jc w:val="both"/>
        <w:rPr>
          <w:sz w:val="22"/>
          <w:szCs w:val="22"/>
          <w:lang w:val="en-GB"/>
        </w:rPr>
      </w:pPr>
      <w:r w:rsidRPr="00D9301F">
        <w:rPr>
          <w:sz w:val="22"/>
          <w:szCs w:val="22"/>
          <w:lang w:val="en-GB"/>
        </w:rPr>
        <w:t>With regard to technical and professional criteria, a tenderer may only rely on the capacities of other entities where the latter will perform the tasks for which these capacities are required.</w:t>
      </w:r>
    </w:p>
    <w:p w14:paraId="47FF49AB" w14:textId="77777777" w:rsidR="00A90F89" w:rsidRPr="00D9301F" w:rsidRDefault="00A90F89" w:rsidP="00AC2A69">
      <w:pPr>
        <w:pStyle w:val="Blockquote"/>
        <w:keepLines/>
        <w:ind w:left="1134" w:right="1"/>
        <w:jc w:val="both"/>
        <w:rPr>
          <w:sz w:val="22"/>
          <w:szCs w:val="22"/>
          <w:lang w:val="en-GB"/>
        </w:rPr>
      </w:pPr>
      <w:r w:rsidRPr="00D9301F">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D9301F" w:rsidRDefault="00E23824" w:rsidP="00AC2A69">
      <w:pPr>
        <w:numPr>
          <w:ilvl w:val="0"/>
          <w:numId w:val="35"/>
        </w:numPr>
        <w:tabs>
          <w:tab w:val="clear" w:pos="644"/>
          <w:tab w:val="num" w:pos="709"/>
        </w:tabs>
        <w:ind w:left="709" w:right="1" w:hanging="425"/>
        <w:outlineLvl w:val="0"/>
        <w:rPr>
          <w:rStyle w:val="Naglaeno"/>
          <w:szCs w:val="24"/>
          <w:lang w:val="en-GB"/>
        </w:rPr>
      </w:pPr>
      <w:r w:rsidRPr="00D9301F">
        <w:rPr>
          <w:rStyle w:val="Naglaeno"/>
          <w:szCs w:val="24"/>
          <w:lang w:val="en-GB"/>
        </w:rPr>
        <w:t>Award criteria</w:t>
      </w:r>
    </w:p>
    <w:p w14:paraId="44E1E8DB" w14:textId="3AE486A6" w:rsidR="00EC76FB" w:rsidRPr="00D9301F" w:rsidRDefault="00EC76FB" w:rsidP="009C235D">
      <w:pPr>
        <w:ind w:left="644"/>
        <w:jc w:val="both"/>
        <w:outlineLvl w:val="0"/>
      </w:pPr>
      <w:r w:rsidRPr="00D9301F">
        <w:rPr>
          <w:sz w:val="22"/>
        </w:rPr>
        <w:t>The sole award criterion will be the price. The contract will be awarded to the lowest compliant tender.</w:t>
      </w:r>
    </w:p>
    <w:p w14:paraId="1329C4F9" w14:textId="77777777" w:rsidR="00E23824" w:rsidRPr="00D9301F" w:rsidRDefault="00E23824" w:rsidP="00AC2A69">
      <w:pPr>
        <w:spacing w:before="300"/>
        <w:ind w:right="1"/>
        <w:jc w:val="center"/>
        <w:rPr>
          <w:rStyle w:val="Naglaeno"/>
          <w:sz w:val="28"/>
          <w:szCs w:val="28"/>
          <w:lang w:val="en-GB"/>
        </w:rPr>
      </w:pPr>
      <w:r w:rsidRPr="00D9301F">
        <w:rPr>
          <w:rStyle w:val="Naglaeno"/>
          <w:sz w:val="28"/>
          <w:szCs w:val="28"/>
          <w:lang w:val="en-GB"/>
        </w:rPr>
        <w:lastRenderedPageBreak/>
        <w:t>TENDERING</w:t>
      </w:r>
    </w:p>
    <w:p w14:paraId="44764CEA" w14:textId="77777777" w:rsidR="00E23824" w:rsidRPr="00D9301F" w:rsidRDefault="00E23824" w:rsidP="00AC2A69">
      <w:pPr>
        <w:numPr>
          <w:ilvl w:val="0"/>
          <w:numId w:val="35"/>
        </w:numPr>
        <w:tabs>
          <w:tab w:val="clear" w:pos="644"/>
          <w:tab w:val="num" w:pos="709"/>
        </w:tabs>
        <w:ind w:left="709" w:right="1" w:hanging="425"/>
        <w:outlineLvl w:val="0"/>
        <w:rPr>
          <w:rStyle w:val="Naglaeno"/>
          <w:szCs w:val="24"/>
          <w:lang w:val="en-GB"/>
        </w:rPr>
      </w:pPr>
      <w:r w:rsidRPr="00D9301F">
        <w:rPr>
          <w:rStyle w:val="Naglaeno"/>
          <w:szCs w:val="24"/>
          <w:lang w:val="en-GB"/>
        </w:rPr>
        <w:t>How to obtain the tender dossier</w:t>
      </w:r>
    </w:p>
    <w:p w14:paraId="0971794A" w14:textId="36B8EBF8" w:rsidR="00E23824" w:rsidRPr="00D9301F" w:rsidRDefault="006A7699" w:rsidP="00AC2A69">
      <w:pPr>
        <w:pStyle w:val="Blockquote"/>
        <w:ind w:left="709" w:right="1"/>
        <w:jc w:val="both"/>
        <w:rPr>
          <w:sz w:val="22"/>
          <w:szCs w:val="22"/>
          <w:lang w:val="en-GB"/>
        </w:rPr>
      </w:pPr>
      <w:r w:rsidRPr="00D9301F">
        <w:rPr>
          <w:sz w:val="22"/>
          <w:szCs w:val="22"/>
          <w:lang w:val="en-GB"/>
        </w:rPr>
        <w:t xml:space="preserve">The tender dossier is available from the following Internet address: </w:t>
      </w:r>
      <w:hyperlink r:id="rId8" w:history="1">
        <w:r w:rsidR="00223A4A" w:rsidRPr="00D9301F">
          <w:rPr>
            <w:rStyle w:val="Hiperveza"/>
          </w:rPr>
          <w:t>https://mef.sum.ba/projekti/</w:t>
        </w:r>
      </w:hyperlink>
      <w:r w:rsidR="00223A4A" w:rsidRPr="00D9301F">
        <w:t xml:space="preserve"> </w:t>
      </w:r>
      <w:r w:rsidRPr="00D9301F">
        <w:rPr>
          <w:sz w:val="22"/>
          <w:szCs w:val="22"/>
          <w:lang w:val="en-GB"/>
        </w:rPr>
        <w:t xml:space="preserve">. The tender dossier is also available from the Project partner. </w:t>
      </w:r>
      <w:r w:rsidR="00E23824" w:rsidRPr="00D9301F">
        <w:rPr>
          <w:sz w:val="22"/>
          <w:szCs w:val="22"/>
          <w:lang w:val="en-GB"/>
        </w:rPr>
        <w:t xml:space="preserve">Tenders must be submitted using the standard </w:t>
      </w:r>
      <w:r w:rsidR="00733C1A" w:rsidRPr="00D9301F">
        <w:rPr>
          <w:sz w:val="22"/>
          <w:szCs w:val="22"/>
          <w:lang w:val="en-GB"/>
        </w:rPr>
        <w:t>Tender Form for a Supply Contract</w:t>
      </w:r>
      <w:r w:rsidR="00E23824" w:rsidRPr="00D9301F">
        <w:rPr>
          <w:sz w:val="22"/>
          <w:szCs w:val="22"/>
          <w:lang w:val="en-GB"/>
        </w:rPr>
        <w:t xml:space="preserve"> included in the tender dossier, whose format and instructions must be strictly observed.</w:t>
      </w:r>
    </w:p>
    <w:p w14:paraId="6146BBE9" w14:textId="56C96DA0" w:rsidR="00AC4ADE" w:rsidRPr="00D9301F" w:rsidRDefault="00E23824" w:rsidP="000E41C0">
      <w:pPr>
        <w:ind w:left="709" w:right="1"/>
        <w:jc w:val="both"/>
        <w:rPr>
          <w:sz w:val="22"/>
          <w:szCs w:val="22"/>
          <w:lang w:val="en-GB"/>
        </w:rPr>
      </w:pPr>
      <w:r w:rsidRPr="00D9301F">
        <w:rPr>
          <w:sz w:val="22"/>
          <w:szCs w:val="22"/>
          <w:lang w:val="en-GB"/>
        </w:rPr>
        <w:t xml:space="preserve">Tenderers with questions regarding this tender should send them in writing to </w:t>
      </w:r>
      <w:r w:rsidR="002333D7" w:rsidRPr="00D9301F">
        <w:t xml:space="preserve"> </w:t>
      </w:r>
      <w:hyperlink r:id="rId9" w:history="1">
        <w:r w:rsidR="00223A4A" w:rsidRPr="00D9301F">
          <w:rPr>
            <w:rStyle w:val="Hiperveza"/>
          </w:rPr>
          <w:t>marin.sunjic@mef.sum.ba</w:t>
        </w:r>
      </w:hyperlink>
      <w:r w:rsidR="00223A4A" w:rsidRPr="00D9301F">
        <w:rPr>
          <w:color w:val="FF0000"/>
        </w:rPr>
        <w:t xml:space="preserve"> </w:t>
      </w:r>
      <w:r w:rsidR="002333D7" w:rsidRPr="00D9301F">
        <w:t xml:space="preserve">or on address: </w:t>
      </w:r>
      <w:r w:rsidR="00223A4A" w:rsidRPr="00D9301F">
        <w:t>University of Mostar School of Medicine</w:t>
      </w:r>
      <w:r w:rsidR="002333D7" w:rsidRPr="009B6F04">
        <w:t>,</w:t>
      </w:r>
      <w:r w:rsidR="002333D7" w:rsidRPr="00D9301F">
        <w:rPr>
          <w:color w:val="FF0000"/>
        </w:rPr>
        <w:t xml:space="preserve"> </w:t>
      </w:r>
      <w:r w:rsidR="009B6F04" w:rsidRPr="009B6F04">
        <w:t>Kralja Petra Krešimira IV bb</w:t>
      </w:r>
      <w:r w:rsidR="002333D7" w:rsidRPr="00D9301F">
        <w:t>, 8</w:t>
      </w:r>
      <w:r w:rsidR="00223A4A" w:rsidRPr="00D9301F">
        <w:t>8000</w:t>
      </w:r>
      <w:r w:rsidR="002333D7" w:rsidRPr="00D9301F">
        <w:t xml:space="preserve"> </w:t>
      </w:r>
      <w:r w:rsidR="00223A4A" w:rsidRPr="00D9301F">
        <w:t>Mostar</w:t>
      </w:r>
      <w:r w:rsidR="000E41C0" w:rsidRPr="00D9301F">
        <w:rPr>
          <w:sz w:val="22"/>
          <w:szCs w:val="22"/>
          <w:lang w:val="en-GB"/>
        </w:rPr>
        <w:t xml:space="preserve"> </w:t>
      </w:r>
      <w:r w:rsidRPr="00D9301F">
        <w:rPr>
          <w:sz w:val="22"/>
          <w:szCs w:val="22"/>
          <w:lang w:val="en-GB"/>
        </w:rPr>
        <w:t xml:space="preserve"> (mentioning the publication reference shown in item 1) at least 21 days before the deadline for submission of tenders given in item 19. The </w:t>
      </w:r>
      <w:r w:rsidR="00EC6129" w:rsidRPr="00D9301F">
        <w:rPr>
          <w:sz w:val="22"/>
          <w:szCs w:val="22"/>
          <w:lang w:val="en-GB"/>
        </w:rPr>
        <w:t>Project partner</w:t>
      </w:r>
      <w:r w:rsidRPr="00D9301F">
        <w:rPr>
          <w:sz w:val="22"/>
          <w:szCs w:val="22"/>
          <w:lang w:val="en-GB"/>
        </w:rPr>
        <w:t xml:space="preserve"> must reply to all tenderers' questions at least 11 days before the deadline for submission of tenders.</w:t>
      </w:r>
      <w:r w:rsidR="006E469C" w:rsidRPr="00D9301F">
        <w:rPr>
          <w:sz w:val="22"/>
          <w:szCs w:val="22"/>
          <w:lang w:val="en-GB"/>
        </w:rPr>
        <w:t xml:space="preserve"> </w:t>
      </w:r>
      <w:r w:rsidR="006A7699" w:rsidRPr="00D9301F">
        <w:rPr>
          <w:sz w:val="22"/>
          <w:szCs w:val="22"/>
          <w:lang w:val="en-GB"/>
        </w:rPr>
        <w:t xml:space="preserve">Eventual clarifications or minor changes to the tender dossier shall be published at the latest 11 days before the submission deadline on the </w:t>
      </w:r>
      <w:hyperlink r:id="rId10" w:history="1">
        <w:r w:rsidR="00223A4A" w:rsidRPr="00D9301F">
          <w:rPr>
            <w:rStyle w:val="Hiperveza"/>
          </w:rPr>
          <w:t>https://mef.sum.ba/projekti/</w:t>
        </w:r>
      </w:hyperlink>
      <w:r w:rsidR="00223A4A" w:rsidRPr="00D9301F">
        <w:t xml:space="preserve"> </w:t>
      </w:r>
      <w:r w:rsidR="000E41C0" w:rsidRPr="00D9301F">
        <w:rPr>
          <w:sz w:val="22"/>
          <w:szCs w:val="22"/>
          <w:lang w:val="en-GB"/>
        </w:rPr>
        <w:t>.</w:t>
      </w:r>
    </w:p>
    <w:p w14:paraId="71A3C40A" w14:textId="77777777" w:rsidR="00E23824" w:rsidRPr="00D9301F" w:rsidRDefault="00E23824" w:rsidP="00AC2A69">
      <w:pPr>
        <w:numPr>
          <w:ilvl w:val="0"/>
          <w:numId w:val="35"/>
        </w:numPr>
        <w:tabs>
          <w:tab w:val="clear" w:pos="644"/>
          <w:tab w:val="num" w:pos="709"/>
        </w:tabs>
        <w:ind w:left="709" w:right="1" w:hanging="425"/>
        <w:jc w:val="both"/>
        <w:outlineLvl w:val="0"/>
        <w:rPr>
          <w:rStyle w:val="Naglaeno"/>
          <w:szCs w:val="24"/>
          <w:lang w:val="en-GB"/>
        </w:rPr>
      </w:pPr>
      <w:bookmarkStart w:id="3" w:name="_Hlk186097667"/>
      <w:r w:rsidRPr="00D9301F">
        <w:rPr>
          <w:rStyle w:val="Naglaeno"/>
          <w:szCs w:val="24"/>
          <w:lang w:val="en-GB"/>
        </w:rPr>
        <w:t>Deadline for submission of tenders</w:t>
      </w:r>
      <w:bookmarkEnd w:id="3"/>
    </w:p>
    <w:p w14:paraId="06C2242E" w14:textId="77777777" w:rsidR="00466F53" w:rsidRPr="00D9301F" w:rsidRDefault="00466F53" w:rsidP="00466F53">
      <w:pPr>
        <w:pStyle w:val="Blockquote"/>
        <w:ind w:left="644" w:right="26"/>
        <w:jc w:val="both"/>
        <w:rPr>
          <w:rStyle w:val="Istaknuto"/>
          <w:i w:val="0"/>
          <w:sz w:val="22"/>
          <w:szCs w:val="22"/>
          <w:lang w:val="en-GB"/>
        </w:rPr>
      </w:pPr>
      <w:r w:rsidRPr="00D9301F">
        <w:rPr>
          <w:rStyle w:val="Istaknuto"/>
          <w:i w:val="0"/>
          <w:sz w:val="22"/>
          <w:szCs w:val="22"/>
          <w:lang w:val="en-GB"/>
        </w:rPr>
        <w:t>The tender must be sent before the date and time limit for submission, as evidenced it is the acknowledgment of receipt given at the time of the delivery of the tender which will serve as proof.</w:t>
      </w:r>
    </w:p>
    <w:p w14:paraId="60F2A7FD" w14:textId="711CB939" w:rsidR="00466F53" w:rsidRPr="00D9301F" w:rsidRDefault="00466F53" w:rsidP="00466F53">
      <w:pPr>
        <w:pStyle w:val="Blockquote"/>
        <w:ind w:left="644" w:right="26"/>
        <w:jc w:val="both"/>
        <w:rPr>
          <w:rStyle w:val="Istaknuto"/>
          <w:i w:val="0"/>
        </w:rPr>
      </w:pPr>
      <w:bookmarkStart w:id="4" w:name="_Hlk186097697"/>
      <w:r w:rsidRPr="00D9301F">
        <w:rPr>
          <w:rStyle w:val="Istaknuto"/>
          <w:i w:val="0"/>
          <w:sz w:val="22"/>
          <w:szCs w:val="22"/>
          <w:lang w:val="en-GB"/>
        </w:rPr>
        <w:t xml:space="preserve">All tenders must be submitted to </w:t>
      </w:r>
      <w:r w:rsidR="00223A4A" w:rsidRPr="00D9301F">
        <w:rPr>
          <w:sz w:val="22"/>
          <w:szCs w:val="22"/>
        </w:rPr>
        <w:t>https://mef.sum.ba/projekti/</w:t>
      </w:r>
      <w:r w:rsidRPr="00D9301F">
        <w:rPr>
          <w:sz w:val="22"/>
          <w:szCs w:val="22"/>
        </w:rPr>
        <w:t>.</w:t>
      </w:r>
      <w:r w:rsidRPr="00D9301F">
        <w:rPr>
          <w:rStyle w:val="Istaknuto"/>
          <w:i w:val="0"/>
          <w:sz w:val="22"/>
          <w:szCs w:val="22"/>
          <w:lang w:val="en-GB"/>
        </w:rPr>
        <w:t xml:space="preserve"> before the deadline </w:t>
      </w:r>
      <w:r w:rsidR="00223A4A" w:rsidRPr="00D9301F">
        <w:rPr>
          <w:rStyle w:val="Istaknuto"/>
          <w:i w:val="0"/>
          <w:sz w:val="22"/>
          <w:szCs w:val="22"/>
          <w:lang w:val="en-GB"/>
        </w:rPr>
        <w:t>January</w:t>
      </w:r>
      <w:r w:rsidR="00B3769A" w:rsidRPr="00D9301F">
        <w:rPr>
          <w:rStyle w:val="Istaknuto"/>
          <w:i w:val="0"/>
          <w:sz w:val="22"/>
          <w:szCs w:val="22"/>
          <w:lang w:val="en-GB"/>
        </w:rPr>
        <w:t xml:space="preserve"> </w:t>
      </w:r>
      <w:r w:rsidR="00223A4A" w:rsidRPr="00D9301F">
        <w:rPr>
          <w:rStyle w:val="Istaknuto"/>
          <w:i w:val="0"/>
          <w:sz w:val="22"/>
          <w:szCs w:val="22"/>
          <w:lang w:val="en-GB"/>
        </w:rPr>
        <w:t>12</w:t>
      </w:r>
      <w:r w:rsidR="00B3769A" w:rsidRPr="00D9301F">
        <w:rPr>
          <w:rStyle w:val="Istaknuto"/>
          <w:i w:val="0"/>
          <w:sz w:val="22"/>
          <w:szCs w:val="22"/>
          <w:lang w:val="en-GB"/>
        </w:rPr>
        <w:t>, 202</w:t>
      </w:r>
      <w:r w:rsidR="00223A4A" w:rsidRPr="00D9301F">
        <w:rPr>
          <w:rStyle w:val="Istaknuto"/>
          <w:i w:val="0"/>
          <w:sz w:val="22"/>
          <w:szCs w:val="22"/>
          <w:lang w:val="en-GB"/>
        </w:rPr>
        <w:t>6</w:t>
      </w:r>
      <w:r w:rsidRPr="00D9301F">
        <w:rPr>
          <w:rStyle w:val="Istaknuto"/>
          <w:i w:val="0"/>
          <w:sz w:val="22"/>
          <w:szCs w:val="22"/>
          <w:lang w:val="en-GB"/>
        </w:rPr>
        <w:t>, before 1</w:t>
      </w:r>
      <w:r w:rsidR="00EA62C0" w:rsidRPr="00D9301F">
        <w:rPr>
          <w:rStyle w:val="Istaknuto"/>
          <w:i w:val="0"/>
          <w:sz w:val="22"/>
          <w:szCs w:val="22"/>
          <w:lang w:val="en-GB"/>
        </w:rPr>
        <w:t>1</w:t>
      </w:r>
      <w:r w:rsidRPr="00D9301F">
        <w:rPr>
          <w:rStyle w:val="Istaknuto"/>
          <w:i w:val="0"/>
          <w:sz w:val="22"/>
          <w:szCs w:val="22"/>
          <w:lang w:val="en-GB"/>
        </w:rPr>
        <w:t>:00 local time. Any tender submitted to the contracting authority after this deadline will not be considered</w:t>
      </w:r>
      <w:bookmarkEnd w:id="4"/>
      <w:r w:rsidRPr="00D9301F">
        <w:rPr>
          <w:rStyle w:val="Istaknuto"/>
          <w:i w:val="0"/>
          <w:sz w:val="22"/>
          <w:szCs w:val="22"/>
          <w:lang w:val="en-GB"/>
        </w:rPr>
        <w:t>.</w:t>
      </w:r>
    </w:p>
    <w:p w14:paraId="5823865A" w14:textId="77777777" w:rsidR="00466F53" w:rsidRPr="00D9301F" w:rsidRDefault="00466F53" w:rsidP="00466F53">
      <w:pPr>
        <w:pStyle w:val="Blockquote"/>
        <w:ind w:left="709" w:right="26"/>
        <w:jc w:val="both"/>
        <w:rPr>
          <w:b/>
          <w:sz w:val="22"/>
          <w:szCs w:val="22"/>
          <w:lang w:val="en-GB"/>
        </w:rPr>
      </w:pPr>
      <w:r w:rsidRPr="00D9301F">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65E604AF" w14:textId="77777777" w:rsidR="00466F53" w:rsidRPr="00D9301F" w:rsidRDefault="00466F53" w:rsidP="00466F53">
      <w:pPr>
        <w:ind w:left="709" w:right="26" w:hanging="349"/>
        <w:outlineLvl w:val="0"/>
        <w:rPr>
          <w:szCs w:val="24"/>
          <w:lang w:val="en-GB"/>
        </w:rPr>
      </w:pPr>
      <w:r w:rsidRPr="00D9301F">
        <w:rPr>
          <w:rStyle w:val="Naglaeno"/>
          <w:sz w:val="22"/>
          <w:szCs w:val="22"/>
          <w:lang w:val="en-GB"/>
        </w:rPr>
        <w:tab/>
      </w:r>
      <w:r w:rsidRPr="00D9301F">
        <w:rPr>
          <w:rStyle w:val="Naglaeno"/>
          <w:szCs w:val="24"/>
          <w:lang w:val="en-GB"/>
        </w:rPr>
        <w:t>How tenders may be submitted</w:t>
      </w:r>
    </w:p>
    <w:p w14:paraId="444E8D2F" w14:textId="77777777" w:rsidR="00466F53" w:rsidRPr="00D9301F" w:rsidRDefault="00466F53" w:rsidP="00466F53">
      <w:pPr>
        <w:pStyle w:val="Blockquote"/>
        <w:ind w:left="709" w:right="26"/>
        <w:jc w:val="both"/>
        <w:rPr>
          <w:sz w:val="22"/>
          <w:szCs w:val="22"/>
          <w:lang w:val="en-GB"/>
        </w:rPr>
      </w:pPr>
      <w:r w:rsidRPr="00D9301F">
        <w:rPr>
          <w:sz w:val="22"/>
          <w:szCs w:val="22"/>
          <w:lang w:val="en-GB"/>
        </w:rPr>
        <w:t>Tenders must be submitted in English exclusively to the contracting authority in a sealed envelope:</w:t>
      </w:r>
    </w:p>
    <w:p w14:paraId="148B1539" w14:textId="77777777" w:rsidR="00466F53" w:rsidRPr="00D9301F" w:rsidRDefault="00466F53" w:rsidP="00466F53">
      <w:pPr>
        <w:numPr>
          <w:ilvl w:val="0"/>
          <w:numId w:val="47"/>
        </w:numPr>
        <w:ind w:right="26"/>
        <w:jc w:val="both"/>
        <w:rPr>
          <w:sz w:val="22"/>
          <w:szCs w:val="22"/>
          <w:lang w:val="en-GB"/>
        </w:rPr>
      </w:pPr>
      <w:r w:rsidRPr="00D9301F">
        <w:rPr>
          <w:sz w:val="22"/>
          <w:szCs w:val="22"/>
          <w:lang w:val="en-GB"/>
        </w:rPr>
        <w:t>EITHER by post or by courier service, in which case the evidence shall be constituted by acknowledgment of receipt given at the time of the delivery of the tender, to:</w:t>
      </w:r>
    </w:p>
    <w:p w14:paraId="17D2D049" w14:textId="4C580D93" w:rsidR="00466F53" w:rsidRPr="00D9301F" w:rsidRDefault="00994371" w:rsidP="00466F53">
      <w:pPr>
        <w:pStyle w:val="Blockquote"/>
        <w:spacing w:before="0" w:after="0"/>
        <w:ind w:left="357" w:right="28"/>
        <w:jc w:val="center"/>
        <w:rPr>
          <w:rStyle w:val="Istaknuto"/>
          <w:i w:val="0"/>
          <w:sz w:val="22"/>
          <w:szCs w:val="22"/>
          <w:lang w:val="en-GB"/>
        </w:rPr>
      </w:pPr>
      <w:r w:rsidRPr="00D9301F">
        <w:rPr>
          <w:sz w:val="22"/>
          <w:szCs w:val="22"/>
          <w:lang w:val="en-GB"/>
        </w:rPr>
        <w:t xml:space="preserve">University of Mostar School of Medicine, </w:t>
      </w:r>
      <w:r w:rsidR="009B6F04" w:rsidRPr="009B6F04">
        <w:rPr>
          <w:sz w:val="22"/>
          <w:szCs w:val="22"/>
          <w:lang w:val="en-GB"/>
        </w:rPr>
        <w:t>Kralja Petra Krešimira IV bb</w:t>
      </w:r>
      <w:r w:rsidRPr="00D9301F">
        <w:rPr>
          <w:sz w:val="22"/>
          <w:szCs w:val="22"/>
          <w:lang w:val="en-GB"/>
        </w:rPr>
        <w:t>, 88000 Mostar</w:t>
      </w:r>
      <w:r w:rsidR="00466F53" w:rsidRPr="00D9301F">
        <w:rPr>
          <w:sz w:val="22"/>
          <w:szCs w:val="22"/>
          <w:lang w:val="en-GB"/>
        </w:rPr>
        <w:t>.</w:t>
      </w:r>
    </w:p>
    <w:p w14:paraId="0D8D49A7" w14:textId="77777777" w:rsidR="00466F53" w:rsidRPr="00D9301F" w:rsidRDefault="00466F53" w:rsidP="00466F53">
      <w:pPr>
        <w:pStyle w:val="Blockquote"/>
        <w:ind w:left="709" w:right="26"/>
        <w:jc w:val="center"/>
        <w:rPr>
          <w:sz w:val="22"/>
          <w:szCs w:val="22"/>
          <w:lang w:val="en-GB"/>
        </w:rPr>
      </w:pPr>
    </w:p>
    <w:p w14:paraId="004F49F0" w14:textId="77777777" w:rsidR="00466F53" w:rsidRPr="00D9301F" w:rsidRDefault="00466F53" w:rsidP="00466F53">
      <w:pPr>
        <w:numPr>
          <w:ilvl w:val="0"/>
          <w:numId w:val="47"/>
        </w:numPr>
        <w:ind w:right="26"/>
        <w:jc w:val="both"/>
        <w:rPr>
          <w:sz w:val="22"/>
          <w:szCs w:val="22"/>
          <w:lang w:val="en-GB"/>
        </w:rPr>
      </w:pPr>
      <w:r w:rsidRPr="00D9301F">
        <w:rPr>
          <w:sz w:val="22"/>
          <w:szCs w:val="22"/>
          <w:lang w:val="en-GB"/>
        </w:rPr>
        <w:t xml:space="preserve">OR </w:t>
      </w:r>
      <w:r w:rsidRPr="00D9301F">
        <w:rPr>
          <w:rStyle w:val="Naglaeno"/>
          <w:b w:val="0"/>
          <w:sz w:val="22"/>
          <w:szCs w:val="22"/>
          <w:lang w:val="en-GB"/>
        </w:rPr>
        <w:t>hand delivere</w:t>
      </w:r>
      <w:r w:rsidRPr="00D9301F">
        <w:rPr>
          <w:sz w:val="22"/>
          <w:szCs w:val="22"/>
          <w:lang w:val="en-GB"/>
        </w:rPr>
        <w:t>d by the participant in person or by an agent</w:t>
      </w:r>
      <w:r w:rsidRPr="00D9301F">
        <w:rPr>
          <w:rStyle w:val="Naglaeno"/>
          <w:b w:val="0"/>
          <w:sz w:val="22"/>
          <w:szCs w:val="22"/>
          <w:lang w:val="en-GB"/>
        </w:rPr>
        <w:t xml:space="preserve"> directly</w:t>
      </w:r>
      <w:r w:rsidRPr="00D9301F">
        <w:rPr>
          <w:sz w:val="22"/>
          <w:szCs w:val="22"/>
          <w:lang w:val="en-GB"/>
        </w:rPr>
        <w:t xml:space="preserve"> to the premises of the contracting authority in return for a </w:t>
      </w:r>
      <w:r w:rsidRPr="00D9301F">
        <w:rPr>
          <w:rStyle w:val="Naglaeno"/>
          <w:b w:val="0"/>
          <w:sz w:val="22"/>
          <w:szCs w:val="22"/>
          <w:lang w:val="en-GB"/>
        </w:rPr>
        <w:t>signed and dated receipt</w:t>
      </w:r>
      <w:r w:rsidRPr="00D9301F">
        <w:rPr>
          <w:sz w:val="22"/>
          <w:szCs w:val="22"/>
          <w:lang w:val="en-GB"/>
        </w:rPr>
        <w:t>, in which case the evidence shall be constituted by this acknowledgement of receipt, to:</w:t>
      </w:r>
    </w:p>
    <w:p w14:paraId="72E2022E" w14:textId="01C77DDF" w:rsidR="00466F53" w:rsidRPr="00D9301F" w:rsidRDefault="00994371" w:rsidP="00466F53">
      <w:pPr>
        <w:pStyle w:val="Blockquote"/>
        <w:spacing w:before="0" w:after="0"/>
        <w:ind w:left="357" w:right="28"/>
        <w:jc w:val="center"/>
        <w:rPr>
          <w:highlight w:val="yellow"/>
        </w:rPr>
      </w:pPr>
      <w:r w:rsidRPr="00D9301F">
        <w:rPr>
          <w:sz w:val="22"/>
          <w:szCs w:val="22"/>
        </w:rPr>
        <w:t xml:space="preserve">University of Mostar School of Medicine, </w:t>
      </w:r>
      <w:r w:rsidR="009B6F04" w:rsidRPr="009B6F04">
        <w:rPr>
          <w:sz w:val="22"/>
          <w:szCs w:val="22"/>
        </w:rPr>
        <w:t>Kralja Petra Krešimira IV bb</w:t>
      </w:r>
      <w:r w:rsidRPr="00D9301F">
        <w:rPr>
          <w:sz w:val="22"/>
          <w:szCs w:val="22"/>
        </w:rPr>
        <w:t>, 88000 Mostar</w:t>
      </w:r>
      <w:r w:rsidR="00466F53" w:rsidRPr="00D9301F">
        <w:rPr>
          <w:sz w:val="22"/>
          <w:szCs w:val="22"/>
          <w:lang w:val="en-GB"/>
        </w:rPr>
        <w:t>.</w:t>
      </w:r>
    </w:p>
    <w:p w14:paraId="637A8AFB" w14:textId="77777777" w:rsidR="00466F53" w:rsidRPr="00D9301F" w:rsidRDefault="00466F53" w:rsidP="00466F53">
      <w:pPr>
        <w:pStyle w:val="Blockquote"/>
        <w:ind w:left="709" w:right="26"/>
        <w:jc w:val="both"/>
        <w:rPr>
          <w:sz w:val="22"/>
          <w:szCs w:val="22"/>
          <w:lang w:val="en-GB"/>
        </w:rPr>
      </w:pPr>
      <w:r w:rsidRPr="00D9301F">
        <w:rPr>
          <w:sz w:val="22"/>
          <w:szCs w:val="22"/>
          <w:lang w:val="en-GB"/>
        </w:rPr>
        <w:lastRenderedPageBreak/>
        <w:t xml:space="preserve">The </w:t>
      </w:r>
      <w:r w:rsidRPr="00D9301F">
        <w:rPr>
          <w:rStyle w:val="Naglaeno"/>
          <w:b w:val="0"/>
          <w:sz w:val="22"/>
          <w:szCs w:val="22"/>
          <w:lang w:val="en-GB"/>
        </w:rPr>
        <w:t>contract title</w:t>
      </w:r>
      <w:r w:rsidRPr="00D9301F">
        <w:rPr>
          <w:sz w:val="22"/>
          <w:szCs w:val="22"/>
          <w:lang w:val="en-GB"/>
        </w:rPr>
        <w:t xml:space="preserve"> and the </w:t>
      </w:r>
      <w:r w:rsidRPr="00D9301F">
        <w:rPr>
          <w:rStyle w:val="Naglaeno"/>
          <w:b w:val="0"/>
          <w:sz w:val="22"/>
          <w:szCs w:val="22"/>
          <w:lang w:val="en-GB"/>
        </w:rPr>
        <w:t>Publication reference</w:t>
      </w:r>
      <w:r w:rsidRPr="00D9301F">
        <w:rPr>
          <w:sz w:val="22"/>
          <w:szCs w:val="22"/>
          <w:lang w:val="en-GB"/>
        </w:rPr>
        <w:t xml:space="preserve"> (see item 1 above) must be clearly marked on the envelope containing the tender and must always be mentioned in all subsequent correspondence with the contracting authority.</w:t>
      </w:r>
    </w:p>
    <w:p w14:paraId="6F32AB27" w14:textId="77777777" w:rsidR="00466F53" w:rsidRPr="00D9301F" w:rsidRDefault="00466F53" w:rsidP="00466F53">
      <w:pPr>
        <w:pStyle w:val="Blockquote"/>
        <w:ind w:left="709" w:right="26"/>
        <w:jc w:val="both"/>
        <w:rPr>
          <w:rStyle w:val="Naglaeno"/>
          <w:b w:val="0"/>
          <w:sz w:val="22"/>
          <w:szCs w:val="22"/>
          <w:lang w:val="en-GB"/>
        </w:rPr>
      </w:pPr>
      <w:r w:rsidRPr="00D9301F">
        <w:rPr>
          <w:rStyle w:val="Naglaeno"/>
          <w:b w:val="0"/>
          <w:sz w:val="22"/>
          <w:szCs w:val="22"/>
          <w:lang w:val="en-GB"/>
        </w:rPr>
        <w:t>Tenders submitted by any other means will not be considered.</w:t>
      </w:r>
    </w:p>
    <w:p w14:paraId="38D11186" w14:textId="05DCED8F" w:rsidR="00E23824" w:rsidRPr="00D9301F" w:rsidRDefault="00466F53" w:rsidP="00466F53">
      <w:pPr>
        <w:pStyle w:val="Blockquote"/>
        <w:ind w:left="720" w:right="1"/>
        <w:jc w:val="both"/>
        <w:rPr>
          <w:rStyle w:val="Istaknuto"/>
          <w:i w:val="0"/>
          <w:sz w:val="22"/>
          <w:szCs w:val="22"/>
          <w:lang w:val="en-GB"/>
        </w:rPr>
      </w:pPr>
      <w:r w:rsidRPr="00D9301F">
        <w:rPr>
          <w:sz w:val="22"/>
          <w:szCs w:val="22"/>
        </w:rPr>
        <w:t>By submitting a tender candidates accept to receive notification of the outcome of the procedure by electronic means.</w:t>
      </w:r>
      <w:r w:rsidRPr="00D9301F">
        <w:t xml:space="preserve"> </w:t>
      </w:r>
      <w:r w:rsidRPr="00D9301F">
        <w:rPr>
          <w:sz w:val="22"/>
          <w:szCs w:val="22"/>
        </w:rPr>
        <w:t>Such notification shall be deemed to have been received on the date upon which the contracting authority sends it to the electronic address referred to in the tender</w:t>
      </w:r>
    </w:p>
    <w:p w14:paraId="479A0112" w14:textId="77777777" w:rsidR="00E23824" w:rsidRPr="00D9301F" w:rsidRDefault="00E23824" w:rsidP="00AC2A69">
      <w:pPr>
        <w:pStyle w:val="Blockquote"/>
        <w:ind w:left="709" w:right="1"/>
        <w:jc w:val="both"/>
        <w:rPr>
          <w:sz w:val="22"/>
          <w:szCs w:val="22"/>
          <w:lang w:val="en-GB"/>
        </w:rPr>
      </w:pPr>
      <w:r w:rsidRPr="00D9301F">
        <w:rPr>
          <w:sz w:val="22"/>
          <w:szCs w:val="22"/>
          <w:lang w:val="en-GB"/>
        </w:rPr>
        <w:t xml:space="preserve">Any tender received </w:t>
      </w:r>
      <w:r w:rsidR="000479E1" w:rsidRPr="00D9301F">
        <w:rPr>
          <w:sz w:val="22"/>
          <w:szCs w:val="22"/>
          <w:lang w:val="en-GB"/>
        </w:rPr>
        <w:t xml:space="preserve">by the </w:t>
      </w:r>
      <w:r w:rsidR="00EC6129" w:rsidRPr="00D9301F">
        <w:rPr>
          <w:sz w:val="22"/>
          <w:szCs w:val="22"/>
          <w:lang w:val="en-GB"/>
        </w:rPr>
        <w:t>Project partner</w:t>
      </w:r>
      <w:r w:rsidR="000479E1" w:rsidRPr="00D9301F">
        <w:rPr>
          <w:sz w:val="22"/>
          <w:szCs w:val="22"/>
          <w:lang w:val="en-GB"/>
        </w:rPr>
        <w:t xml:space="preserve"> </w:t>
      </w:r>
      <w:r w:rsidRPr="00D9301F">
        <w:rPr>
          <w:sz w:val="22"/>
          <w:szCs w:val="22"/>
          <w:lang w:val="en-GB"/>
        </w:rPr>
        <w:t>after this deadline will not be considered.</w:t>
      </w:r>
    </w:p>
    <w:p w14:paraId="7A27DCA3" w14:textId="77777777" w:rsidR="00E23824" w:rsidRPr="00D9301F" w:rsidRDefault="00E23824" w:rsidP="00AC2A69">
      <w:pPr>
        <w:numPr>
          <w:ilvl w:val="0"/>
          <w:numId w:val="35"/>
        </w:numPr>
        <w:tabs>
          <w:tab w:val="clear" w:pos="644"/>
          <w:tab w:val="num" w:pos="709"/>
        </w:tabs>
        <w:ind w:left="709" w:right="1" w:hanging="425"/>
        <w:jc w:val="both"/>
        <w:outlineLvl w:val="0"/>
        <w:rPr>
          <w:rStyle w:val="Naglaeno"/>
          <w:szCs w:val="24"/>
          <w:lang w:val="en-GB"/>
        </w:rPr>
      </w:pPr>
      <w:bookmarkStart w:id="5" w:name="_Hlk186097897"/>
      <w:r w:rsidRPr="00D9301F">
        <w:rPr>
          <w:rStyle w:val="Naglaeno"/>
          <w:szCs w:val="24"/>
          <w:lang w:val="en-GB"/>
        </w:rPr>
        <w:t>Tender opening session</w:t>
      </w:r>
      <w:bookmarkEnd w:id="5"/>
    </w:p>
    <w:p w14:paraId="664855E5" w14:textId="35B97F2D" w:rsidR="004D3B07" w:rsidRPr="00D9301F" w:rsidRDefault="00EA62C0" w:rsidP="00AC2A69">
      <w:pPr>
        <w:pStyle w:val="Blockquote"/>
        <w:ind w:left="644" w:right="1"/>
        <w:jc w:val="both"/>
        <w:rPr>
          <w:sz w:val="22"/>
          <w:szCs w:val="22"/>
          <w:lang w:val="en-GB"/>
        </w:rPr>
      </w:pPr>
      <w:bookmarkStart w:id="6" w:name="_Hlk186097917"/>
      <w:r w:rsidRPr="00D9301F">
        <w:rPr>
          <w:sz w:val="22"/>
          <w:szCs w:val="22"/>
          <w:lang w:val="en-GB"/>
        </w:rPr>
        <w:t xml:space="preserve">The tenders will be opened in public session on </w:t>
      </w:r>
      <w:r w:rsidR="00223A4A" w:rsidRPr="00D9301F">
        <w:rPr>
          <w:sz w:val="22"/>
          <w:szCs w:val="22"/>
          <w:lang w:val="en-GB"/>
        </w:rPr>
        <w:t>January</w:t>
      </w:r>
      <w:r w:rsidR="00B3769A" w:rsidRPr="00D9301F">
        <w:rPr>
          <w:sz w:val="22"/>
          <w:szCs w:val="22"/>
          <w:lang w:val="en-GB"/>
        </w:rPr>
        <w:t xml:space="preserve"> </w:t>
      </w:r>
      <w:r w:rsidR="00223A4A" w:rsidRPr="00D9301F">
        <w:rPr>
          <w:sz w:val="22"/>
          <w:szCs w:val="22"/>
          <w:lang w:val="en-GB"/>
        </w:rPr>
        <w:t>12</w:t>
      </w:r>
      <w:r w:rsidR="00E4457C" w:rsidRPr="00D9301F">
        <w:rPr>
          <w:sz w:val="22"/>
          <w:szCs w:val="22"/>
          <w:lang w:val="en-GB"/>
        </w:rPr>
        <w:t>, 202</w:t>
      </w:r>
      <w:r w:rsidR="00223A4A" w:rsidRPr="00D9301F">
        <w:rPr>
          <w:sz w:val="22"/>
          <w:szCs w:val="22"/>
          <w:lang w:val="en-GB"/>
        </w:rPr>
        <w:t>6</w:t>
      </w:r>
      <w:r w:rsidR="00E4457C" w:rsidRPr="00D9301F">
        <w:rPr>
          <w:sz w:val="22"/>
          <w:szCs w:val="22"/>
          <w:lang w:val="en-GB"/>
        </w:rPr>
        <w:t>.</w:t>
      </w:r>
      <w:r w:rsidRPr="00D9301F">
        <w:rPr>
          <w:sz w:val="22"/>
          <w:szCs w:val="22"/>
          <w:lang w:val="en-GB"/>
        </w:rPr>
        <w:t xml:space="preserve"> at 12:00 local time at </w:t>
      </w:r>
      <w:r w:rsidR="00994371" w:rsidRPr="00D9301F">
        <w:rPr>
          <w:sz w:val="22"/>
          <w:szCs w:val="22"/>
          <w:lang w:val="en-GB"/>
        </w:rPr>
        <w:t xml:space="preserve">University of Mostar School of Medicine, </w:t>
      </w:r>
      <w:r w:rsidR="009B6F04" w:rsidRPr="009B6F04">
        <w:rPr>
          <w:sz w:val="22"/>
          <w:szCs w:val="22"/>
          <w:lang w:val="en-GB"/>
        </w:rPr>
        <w:t>Kralja Petra Krešimira IV bb</w:t>
      </w:r>
      <w:r w:rsidR="00994371" w:rsidRPr="00D9301F">
        <w:rPr>
          <w:sz w:val="22"/>
          <w:szCs w:val="22"/>
          <w:lang w:val="en-GB"/>
        </w:rPr>
        <w:t>, 88000 Mostar</w:t>
      </w:r>
      <w:r w:rsidRPr="00D9301F">
        <w:rPr>
          <w:sz w:val="22"/>
          <w:szCs w:val="22"/>
          <w:lang w:val="en-GB"/>
        </w:rPr>
        <w:t xml:space="preserve"> by the appointed committee</w:t>
      </w:r>
    </w:p>
    <w:bookmarkEnd w:id="6"/>
    <w:p w14:paraId="001415A0" w14:textId="77777777" w:rsidR="0021431B" w:rsidRPr="00D9301F" w:rsidRDefault="0021431B" w:rsidP="00AC2A69">
      <w:pPr>
        <w:numPr>
          <w:ilvl w:val="0"/>
          <w:numId w:val="35"/>
        </w:numPr>
        <w:tabs>
          <w:tab w:val="clear" w:pos="644"/>
          <w:tab w:val="num" w:pos="709"/>
        </w:tabs>
        <w:ind w:left="709" w:right="1" w:hanging="425"/>
        <w:jc w:val="both"/>
        <w:outlineLvl w:val="0"/>
        <w:rPr>
          <w:rStyle w:val="Naglaeno"/>
          <w:szCs w:val="24"/>
          <w:lang w:val="en-GB"/>
        </w:rPr>
      </w:pPr>
      <w:r w:rsidRPr="00D9301F">
        <w:rPr>
          <w:rStyle w:val="Naglaeno"/>
          <w:szCs w:val="24"/>
          <w:lang w:val="en-GB"/>
        </w:rPr>
        <w:t>Language of the procedure</w:t>
      </w:r>
    </w:p>
    <w:p w14:paraId="1D8E5007" w14:textId="5BA0EAC6" w:rsidR="0021431B" w:rsidRPr="00D9301F" w:rsidRDefault="0021431B" w:rsidP="00AC2A69">
      <w:pPr>
        <w:pStyle w:val="Blockquote"/>
        <w:ind w:left="709" w:right="1"/>
        <w:jc w:val="both"/>
        <w:rPr>
          <w:i/>
          <w:sz w:val="22"/>
          <w:szCs w:val="22"/>
          <w:lang w:val="en-GB"/>
        </w:rPr>
      </w:pPr>
      <w:r w:rsidRPr="00D9301F">
        <w:rPr>
          <w:rStyle w:val="Istaknuto"/>
          <w:i w:val="0"/>
          <w:sz w:val="22"/>
          <w:szCs w:val="22"/>
          <w:lang w:val="en-GB"/>
        </w:rPr>
        <w:t xml:space="preserve">All written communications for this tender procedure and contract must be </w:t>
      </w:r>
      <w:r w:rsidR="00013432" w:rsidRPr="00D9301F">
        <w:rPr>
          <w:rStyle w:val="Istaknuto"/>
          <w:i w:val="0"/>
          <w:sz w:val="22"/>
          <w:szCs w:val="22"/>
          <w:lang w:val="en-GB"/>
        </w:rPr>
        <w:t xml:space="preserve">in English </w:t>
      </w:r>
      <w:r w:rsidR="007A1122" w:rsidRPr="00D9301F">
        <w:rPr>
          <w:rStyle w:val="Istaknuto"/>
          <w:i w:val="0"/>
          <w:sz w:val="22"/>
          <w:szCs w:val="22"/>
          <w:lang w:val="en-GB"/>
        </w:rPr>
        <w:t>or</w:t>
      </w:r>
      <w:r w:rsidR="00013432" w:rsidRPr="00D9301F">
        <w:rPr>
          <w:rStyle w:val="Istaknuto"/>
          <w:i w:val="0"/>
          <w:sz w:val="22"/>
          <w:szCs w:val="22"/>
          <w:lang w:val="en-GB"/>
        </w:rPr>
        <w:t xml:space="preserve"> in any of official languages of programme participating countries in Latin letter</w:t>
      </w:r>
      <w:r w:rsidRPr="00D9301F">
        <w:rPr>
          <w:rStyle w:val="Istaknuto"/>
          <w:i w:val="0"/>
          <w:sz w:val="22"/>
          <w:szCs w:val="22"/>
          <w:lang w:val="en-GB"/>
        </w:rPr>
        <w:t>.</w:t>
      </w:r>
      <w:r w:rsidR="00F274BD" w:rsidRPr="00D9301F">
        <w:rPr>
          <w:rStyle w:val="Istaknuto"/>
          <w:i w:val="0"/>
          <w:sz w:val="22"/>
          <w:szCs w:val="22"/>
          <w:lang w:val="en-GB"/>
        </w:rPr>
        <w:t xml:space="preserve"> </w:t>
      </w:r>
    </w:p>
    <w:p w14:paraId="77A0D929" w14:textId="77777777" w:rsidR="00E23824" w:rsidRPr="00D9301F" w:rsidRDefault="00E23824" w:rsidP="00AC2A69">
      <w:pPr>
        <w:numPr>
          <w:ilvl w:val="0"/>
          <w:numId w:val="35"/>
        </w:numPr>
        <w:tabs>
          <w:tab w:val="clear" w:pos="644"/>
          <w:tab w:val="num" w:pos="709"/>
        </w:tabs>
        <w:ind w:left="709" w:right="1" w:hanging="425"/>
        <w:jc w:val="both"/>
        <w:outlineLvl w:val="0"/>
        <w:rPr>
          <w:rStyle w:val="Naglaeno"/>
          <w:szCs w:val="24"/>
          <w:lang w:val="en-GB"/>
        </w:rPr>
      </w:pPr>
      <w:r w:rsidRPr="00D9301F">
        <w:rPr>
          <w:rStyle w:val="Naglaeno"/>
          <w:szCs w:val="24"/>
          <w:lang w:val="en-GB"/>
        </w:rPr>
        <w:t>Legal basis</w:t>
      </w:r>
      <w:r w:rsidR="000E3C60" w:rsidRPr="00D9301F">
        <w:rPr>
          <w:rStyle w:val="Referencafusnote"/>
          <w:b/>
          <w:szCs w:val="24"/>
          <w:lang w:val="en-GB"/>
        </w:rPr>
        <w:footnoteReference w:id="1"/>
      </w:r>
    </w:p>
    <w:p w14:paraId="60CE7DC7" w14:textId="77777777" w:rsidR="00C7733C" w:rsidRPr="00D9301F" w:rsidRDefault="00C7733C" w:rsidP="00C7733C">
      <w:pPr>
        <w:pStyle w:val="Odlomakpopisa"/>
        <w:pBdr>
          <w:top w:val="nil"/>
          <w:left w:val="nil"/>
          <w:bottom w:val="nil"/>
          <w:right w:val="nil"/>
          <w:between w:val="nil"/>
        </w:pBdr>
        <w:spacing w:before="120" w:after="0"/>
        <w:ind w:left="644"/>
        <w:jc w:val="both"/>
        <w:rPr>
          <w:rFonts w:ascii="Times New Roman" w:hAnsi="Times New Roman"/>
        </w:rPr>
      </w:pPr>
      <w:r w:rsidRPr="00D9301F">
        <w:rPr>
          <w:rFonts w:ascii="Times New Roman" w:hAnsi="Times New Roman"/>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0EF0EBB9" w14:textId="77777777" w:rsidR="00D654DB" w:rsidRPr="00D9301F" w:rsidRDefault="00435363" w:rsidP="00C7733C">
      <w:pPr>
        <w:pStyle w:val="Odlomakpopisa"/>
        <w:pBdr>
          <w:top w:val="nil"/>
          <w:left w:val="nil"/>
          <w:bottom w:val="nil"/>
          <w:right w:val="nil"/>
          <w:between w:val="nil"/>
        </w:pBdr>
        <w:spacing w:before="120" w:after="0"/>
        <w:ind w:left="644"/>
        <w:jc w:val="both"/>
        <w:rPr>
          <w:rFonts w:ascii="Times New Roman" w:hAnsi="Times New Roman"/>
        </w:rPr>
      </w:pPr>
      <w:r w:rsidRPr="00D9301F">
        <w:rPr>
          <w:rFonts w:ascii="Times New Roman" w:hAnsi="Times New Roman"/>
        </w:rPr>
        <w:t xml:space="preserve">Regulation (EU, Euratom) 2024/2509 of the European Parliament and of the Council of 23 September 2024 on the financial rules applicable to the general budget of the Union, repealing Regulation (EU, Euratom) No </w:t>
      </w:r>
      <w:r w:rsidR="00C7733C" w:rsidRPr="00D9301F">
        <w:rPr>
          <w:rFonts w:ascii="Times New Roman" w:hAnsi="Times New Roman"/>
        </w:rPr>
        <w:t>2018/1046,</w:t>
      </w:r>
      <w:r w:rsidRPr="00D9301F">
        <w:rPr>
          <w:rFonts w:ascii="Times New Roman" w:hAnsi="Times New Roman"/>
        </w:rPr>
        <w:t xml:space="preserve"> </w:t>
      </w:r>
    </w:p>
    <w:p w14:paraId="59003112" w14:textId="1068D5B8" w:rsidR="000F23E5" w:rsidRPr="009B6F04" w:rsidRDefault="00C7733C" w:rsidP="009B6F04">
      <w:pPr>
        <w:pStyle w:val="Odlomakpopisa"/>
        <w:pBdr>
          <w:top w:val="nil"/>
          <w:left w:val="nil"/>
          <w:bottom w:val="nil"/>
          <w:right w:val="nil"/>
          <w:between w:val="nil"/>
        </w:pBdr>
        <w:spacing w:before="120" w:after="0"/>
        <w:ind w:left="644"/>
        <w:jc w:val="both"/>
        <w:rPr>
          <w:rFonts w:ascii="Times New Roman" w:hAnsi="Times New Roman"/>
        </w:rPr>
      </w:pPr>
      <w:r w:rsidRPr="00D9301F">
        <w:rPr>
          <w:rFonts w:ascii="Times New Roman" w:hAnsi="Times New Roman"/>
        </w:rPr>
        <w:t>Interreg VI-A IPA programme Croatia – Bosnia and Herzegovina – Montenegro.</w:t>
      </w:r>
    </w:p>
    <w:p w14:paraId="0A5A3FD4" w14:textId="0EAC3D87" w:rsidR="00F964EE" w:rsidRPr="00D9301F" w:rsidRDefault="00D571DA" w:rsidP="00AC2A69">
      <w:pPr>
        <w:numPr>
          <w:ilvl w:val="0"/>
          <w:numId w:val="35"/>
        </w:numPr>
        <w:tabs>
          <w:tab w:val="clear" w:pos="644"/>
          <w:tab w:val="num" w:pos="709"/>
        </w:tabs>
        <w:ind w:left="709" w:right="1" w:hanging="425"/>
        <w:jc w:val="both"/>
        <w:outlineLvl w:val="0"/>
        <w:rPr>
          <w:rStyle w:val="Naglaeno"/>
          <w:szCs w:val="24"/>
          <w:lang w:val="en-GB"/>
        </w:rPr>
      </w:pPr>
      <w:r w:rsidRPr="00D9301F" w:rsidDel="00D571DA">
        <w:rPr>
          <w:sz w:val="22"/>
          <w:szCs w:val="22"/>
        </w:rPr>
        <w:t xml:space="preserve"> </w:t>
      </w:r>
      <w:r w:rsidR="00F964EE" w:rsidRPr="00D9301F">
        <w:rPr>
          <w:rStyle w:val="Naglaeno"/>
          <w:szCs w:val="24"/>
          <w:lang w:val="en-GB"/>
        </w:rPr>
        <w:t>Additional information</w:t>
      </w:r>
    </w:p>
    <w:p w14:paraId="2D0B9714" w14:textId="799C060E" w:rsidR="00EA62C0" w:rsidRPr="00D9301F" w:rsidRDefault="00EA62C0" w:rsidP="009B6F04">
      <w:pPr>
        <w:widowControl/>
        <w:snapToGrid w:val="0"/>
        <w:spacing w:after="0"/>
        <w:ind w:left="644" w:right="360"/>
        <w:jc w:val="both"/>
        <w:rPr>
          <w:sz w:val="22"/>
          <w:szCs w:val="22"/>
          <w:lang w:val="en-GB"/>
        </w:rPr>
      </w:pPr>
      <w:r w:rsidRPr="00D9301F">
        <w:rPr>
          <w:sz w:val="22"/>
          <w:szCs w:val="22"/>
          <w:lang w:val="en-GB"/>
        </w:rPr>
        <w:t xml:space="preserve">Financial data to be provided by the tenderer in the standard tender form must be expressed in EUR. If applicable, where a candidate refers to amounts originally expressed in a different currency, the conversion to EUR shall be made in accordance with the InforEuro exchange rate of which can be found at the following address: </w:t>
      </w:r>
      <w:hyperlink r:id="rId11" w:history="1">
        <w:r w:rsidRPr="00D9301F">
          <w:rPr>
            <w:rStyle w:val="Hiperveza"/>
            <w:color w:val="auto"/>
            <w:sz w:val="22"/>
            <w:szCs w:val="22"/>
            <w:lang w:val="en-GB"/>
          </w:rPr>
          <w:t>http://ec.europa.eu/budget/graphs/inforeuro.html</w:t>
        </w:r>
      </w:hyperlink>
      <w:r w:rsidRPr="00D9301F">
        <w:rPr>
          <w:sz w:val="22"/>
          <w:szCs w:val="22"/>
          <w:lang w:val="en-GB"/>
        </w:rPr>
        <w:t>.</w:t>
      </w:r>
    </w:p>
    <w:p w14:paraId="217B4092" w14:textId="77777777" w:rsidR="009B6F04" w:rsidRDefault="009B6F04" w:rsidP="00EA62C0">
      <w:pPr>
        <w:tabs>
          <w:tab w:val="num" w:pos="284"/>
        </w:tabs>
        <w:ind w:left="720" w:right="1"/>
        <w:rPr>
          <w:sz w:val="22"/>
          <w:szCs w:val="22"/>
          <w:lang w:val="en-GB"/>
        </w:rPr>
      </w:pPr>
    </w:p>
    <w:p w14:paraId="30AF9503" w14:textId="72F7A4D4" w:rsidR="00EA62C0" w:rsidRPr="00D9301F" w:rsidRDefault="00EA62C0" w:rsidP="00EA62C0">
      <w:pPr>
        <w:tabs>
          <w:tab w:val="num" w:pos="284"/>
        </w:tabs>
        <w:ind w:left="720" w:right="1"/>
        <w:rPr>
          <w:sz w:val="22"/>
          <w:szCs w:val="22"/>
          <w:lang w:val="en-GB"/>
        </w:rPr>
      </w:pPr>
      <w:r w:rsidRPr="00D9301F">
        <w:rPr>
          <w:sz w:val="22"/>
          <w:szCs w:val="22"/>
          <w:lang w:val="en-GB"/>
        </w:rPr>
        <w:t>Opening hours of the Contracting authority is from 07:00h - 15:00h (local time), Monday to Friday.</w:t>
      </w:r>
    </w:p>
    <w:sectPr w:rsidR="00EA62C0" w:rsidRPr="00D9301F" w:rsidSect="00B41887">
      <w:headerReference w:type="default" r:id="rId12"/>
      <w:footerReference w:type="even" r:id="rId13"/>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110A1" w14:textId="77777777" w:rsidR="004A13D3" w:rsidRDefault="004A13D3">
      <w:r>
        <w:separator/>
      </w:r>
    </w:p>
  </w:endnote>
  <w:endnote w:type="continuationSeparator" w:id="0">
    <w:p w14:paraId="4352A19D" w14:textId="77777777" w:rsidR="004A13D3" w:rsidRDefault="004A1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33D0" w14:textId="77777777" w:rsidR="00E1322F" w:rsidRDefault="00E1322F" w:rsidP="00A5675F">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52EAB709" w14:textId="77777777" w:rsidR="00E1322F" w:rsidRDefault="00E1322F" w:rsidP="00AA679C">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E3C89" w14:textId="77777777" w:rsidR="004A13D3" w:rsidRDefault="004A13D3">
      <w:r>
        <w:separator/>
      </w:r>
    </w:p>
  </w:footnote>
  <w:footnote w:type="continuationSeparator" w:id="0">
    <w:p w14:paraId="40BBBF21" w14:textId="77777777" w:rsidR="004A13D3" w:rsidRDefault="004A13D3">
      <w:r>
        <w:continuationSeparator/>
      </w:r>
    </w:p>
  </w:footnote>
  <w:footnote w:id="1">
    <w:p w14:paraId="1425244E" w14:textId="77777777" w:rsidR="000E3C60" w:rsidRPr="000F28BC" w:rsidRDefault="000E3C60" w:rsidP="00A506DB">
      <w:pPr>
        <w:pStyle w:val="Tekstfusnote"/>
        <w:ind w:left="142" w:hanging="142"/>
        <w:rPr>
          <w:lang w:val="en-GB"/>
        </w:rPr>
      </w:pPr>
      <w:r>
        <w:rPr>
          <w:rStyle w:val="Referencafusnot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39D4" w14:textId="2C3ADF5B" w:rsidR="00EC6129" w:rsidRPr="00C7733C" w:rsidRDefault="00C7733C" w:rsidP="00C7733C">
    <w:pPr>
      <w:rPr>
        <w:b/>
        <w:bCs/>
        <w:sz w:val="20"/>
        <w:lang w:val="en-GB"/>
      </w:rPr>
    </w:pPr>
    <w:r>
      <w:rPr>
        <w:b/>
        <w:bCs/>
        <w:noProof/>
        <w:sz w:val="20"/>
        <w:lang w:val="en-GB"/>
      </w:rPr>
      <w:drawing>
        <wp:inline distT="0" distB="0" distL="0" distR="0" wp14:anchorId="22EF9725" wp14:editId="3B6BEE2C">
          <wp:extent cx="2865120" cy="853440"/>
          <wp:effectExtent l="0" t="0" r="0" b="3810"/>
          <wp:docPr id="7289021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467649B"/>
    <w:multiLevelType w:val="hybridMultilevel"/>
    <w:tmpl w:val="A244829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1"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5"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8"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284688D"/>
    <w:multiLevelType w:val="multilevel"/>
    <w:tmpl w:val="E0DE28C0"/>
    <w:lvl w:ilvl="0">
      <w:start w:val="1"/>
      <w:numFmt w:val="decimal"/>
      <w:pStyle w:val="Naslov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Naslov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Naslov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2" w15:restartNumberingAfterBreak="0">
    <w:nsid w:val="53B76C42"/>
    <w:multiLevelType w:val="hybridMultilevel"/>
    <w:tmpl w:val="926E1A30"/>
    <w:lvl w:ilvl="0" w:tplc="D05AA5FE">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3"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4"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8533740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3077469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69542235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90421415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09585579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08037055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69032954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34953254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85198496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081483443">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64924726">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85664993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435448528">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811218043">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176765873">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87793049">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889461219">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2223685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88827714">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2013289489">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208240885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9124178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25902293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64365475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683245404">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90450212">
    <w:abstractNumId w:val="0"/>
    <w:lvlOverride w:ilvl="0">
      <w:lvl w:ilvl="0">
        <w:numFmt w:val="bullet"/>
        <w:lvlText w:val=""/>
        <w:lvlJc w:val="left"/>
        <w:pPr>
          <w:ind w:left="720" w:hanging="360"/>
        </w:pPr>
        <w:rPr>
          <w:rFonts w:ascii="Times New Roman" w:hAnsi="Times New Roman" w:hint="default"/>
        </w:rPr>
      </w:lvl>
    </w:lvlOverride>
  </w:num>
  <w:num w:numId="27" w16cid:durableId="106510171">
    <w:abstractNumId w:val="39"/>
  </w:num>
  <w:num w:numId="28" w16cid:durableId="2065828958">
    <w:abstractNumId w:val="29"/>
  </w:num>
  <w:num w:numId="29" w16cid:durableId="1079330697">
    <w:abstractNumId w:val="28"/>
  </w:num>
  <w:num w:numId="30" w16cid:durableId="1042174296">
    <w:abstractNumId w:val="32"/>
  </w:num>
  <w:num w:numId="31" w16cid:durableId="443767160">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872231050">
    <w:abstractNumId w:val="34"/>
  </w:num>
  <w:num w:numId="33" w16cid:durableId="1055081897">
    <w:abstractNumId w:val="31"/>
  </w:num>
  <w:num w:numId="34" w16cid:durableId="231670070">
    <w:abstractNumId w:val="27"/>
  </w:num>
  <w:num w:numId="35" w16cid:durableId="2076781092">
    <w:abstractNumId w:val="35"/>
  </w:num>
  <w:num w:numId="36" w16cid:durableId="1056122535">
    <w:abstractNumId w:val="46"/>
  </w:num>
  <w:num w:numId="37" w16cid:durableId="516652065">
    <w:abstractNumId w:val="33"/>
  </w:num>
  <w:num w:numId="38" w16cid:durableId="840269813">
    <w:abstractNumId w:val="37"/>
  </w:num>
  <w:num w:numId="39" w16cid:durableId="159736431">
    <w:abstractNumId w:val="41"/>
  </w:num>
  <w:num w:numId="40" w16cid:durableId="770667569">
    <w:abstractNumId w:val="44"/>
  </w:num>
  <w:num w:numId="41" w16cid:durableId="1658798015">
    <w:abstractNumId w:val="38"/>
  </w:num>
  <w:num w:numId="42" w16cid:durableId="2110391281">
    <w:abstractNumId w:val="40"/>
  </w:num>
  <w:num w:numId="43" w16cid:durableId="1286736396">
    <w:abstractNumId w:val="43"/>
  </w:num>
  <w:num w:numId="44" w16cid:durableId="399911756">
    <w:abstractNumId w:val="45"/>
  </w:num>
  <w:num w:numId="45" w16cid:durableId="1718773208">
    <w:abstractNumId w:val="36"/>
  </w:num>
  <w:num w:numId="46" w16cid:durableId="1823160461">
    <w:abstractNumId w:val="42"/>
  </w:num>
  <w:num w:numId="47" w16cid:durableId="1056853871">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8" w16cid:durableId="302155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2CDE"/>
    <w:rsid w:val="00013432"/>
    <w:rsid w:val="00013673"/>
    <w:rsid w:val="00021ECF"/>
    <w:rsid w:val="00025815"/>
    <w:rsid w:val="000262ED"/>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A217E"/>
    <w:rsid w:val="000B13F3"/>
    <w:rsid w:val="000B3E45"/>
    <w:rsid w:val="000B6767"/>
    <w:rsid w:val="000B76C2"/>
    <w:rsid w:val="000D0A26"/>
    <w:rsid w:val="000D1202"/>
    <w:rsid w:val="000D33A8"/>
    <w:rsid w:val="000E3C60"/>
    <w:rsid w:val="000E41C0"/>
    <w:rsid w:val="000E466C"/>
    <w:rsid w:val="000E6F0A"/>
    <w:rsid w:val="000F23E5"/>
    <w:rsid w:val="000F28BC"/>
    <w:rsid w:val="000F7479"/>
    <w:rsid w:val="0010079C"/>
    <w:rsid w:val="0010140A"/>
    <w:rsid w:val="001113A9"/>
    <w:rsid w:val="00111B24"/>
    <w:rsid w:val="00113EC8"/>
    <w:rsid w:val="001209A2"/>
    <w:rsid w:val="0012104D"/>
    <w:rsid w:val="0013395D"/>
    <w:rsid w:val="00140C26"/>
    <w:rsid w:val="00145394"/>
    <w:rsid w:val="00145C6A"/>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3A4A"/>
    <w:rsid w:val="00226AAC"/>
    <w:rsid w:val="002333D7"/>
    <w:rsid w:val="00236399"/>
    <w:rsid w:val="002449DA"/>
    <w:rsid w:val="0024766C"/>
    <w:rsid w:val="00247CE9"/>
    <w:rsid w:val="00252841"/>
    <w:rsid w:val="002604E1"/>
    <w:rsid w:val="00265345"/>
    <w:rsid w:val="00281A2D"/>
    <w:rsid w:val="00286429"/>
    <w:rsid w:val="0029238F"/>
    <w:rsid w:val="00293121"/>
    <w:rsid w:val="002A0940"/>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57B58"/>
    <w:rsid w:val="00361FA0"/>
    <w:rsid w:val="00362F0A"/>
    <w:rsid w:val="00371CF7"/>
    <w:rsid w:val="00374F70"/>
    <w:rsid w:val="00375879"/>
    <w:rsid w:val="0038267A"/>
    <w:rsid w:val="00386BD4"/>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1004"/>
    <w:rsid w:val="00423847"/>
    <w:rsid w:val="00427DAE"/>
    <w:rsid w:val="0043250C"/>
    <w:rsid w:val="00435363"/>
    <w:rsid w:val="00450F3C"/>
    <w:rsid w:val="00454F08"/>
    <w:rsid w:val="0046639B"/>
    <w:rsid w:val="004668A3"/>
    <w:rsid w:val="00466F53"/>
    <w:rsid w:val="00471812"/>
    <w:rsid w:val="0047652E"/>
    <w:rsid w:val="00496DA0"/>
    <w:rsid w:val="00496E61"/>
    <w:rsid w:val="004A0804"/>
    <w:rsid w:val="004A13D3"/>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25D00"/>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5F6544"/>
    <w:rsid w:val="00607BED"/>
    <w:rsid w:val="00614B85"/>
    <w:rsid w:val="006158C3"/>
    <w:rsid w:val="006164BD"/>
    <w:rsid w:val="0061654D"/>
    <w:rsid w:val="00617BD2"/>
    <w:rsid w:val="0063035B"/>
    <w:rsid w:val="0063245A"/>
    <w:rsid w:val="00636089"/>
    <w:rsid w:val="006414A0"/>
    <w:rsid w:val="00644767"/>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A7699"/>
    <w:rsid w:val="006A7E68"/>
    <w:rsid w:val="006B13A4"/>
    <w:rsid w:val="006B1404"/>
    <w:rsid w:val="006B31D5"/>
    <w:rsid w:val="006C3473"/>
    <w:rsid w:val="006C39C2"/>
    <w:rsid w:val="006C3AA9"/>
    <w:rsid w:val="006C515A"/>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2234"/>
    <w:rsid w:val="0076574E"/>
    <w:rsid w:val="007706E7"/>
    <w:rsid w:val="007739D4"/>
    <w:rsid w:val="007825B0"/>
    <w:rsid w:val="00786193"/>
    <w:rsid w:val="00786B27"/>
    <w:rsid w:val="00787C1D"/>
    <w:rsid w:val="00787CE3"/>
    <w:rsid w:val="007A042A"/>
    <w:rsid w:val="007A1122"/>
    <w:rsid w:val="007A60DB"/>
    <w:rsid w:val="007A7E13"/>
    <w:rsid w:val="007C0451"/>
    <w:rsid w:val="007C7F91"/>
    <w:rsid w:val="007D286E"/>
    <w:rsid w:val="007E0F9E"/>
    <w:rsid w:val="007F1B5E"/>
    <w:rsid w:val="007F61B8"/>
    <w:rsid w:val="0080433E"/>
    <w:rsid w:val="0081446D"/>
    <w:rsid w:val="00817C91"/>
    <w:rsid w:val="00820358"/>
    <w:rsid w:val="00826197"/>
    <w:rsid w:val="0082708F"/>
    <w:rsid w:val="00827C12"/>
    <w:rsid w:val="008418D4"/>
    <w:rsid w:val="00843337"/>
    <w:rsid w:val="008435D9"/>
    <w:rsid w:val="00852E20"/>
    <w:rsid w:val="008546F8"/>
    <w:rsid w:val="00855006"/>
    <w:rsid w:val="00865889"/>
    <w:rsid w:val="008835B2"/>
    <w:rsid w:val="00885ACA"/>
    <w:rsid w:val="00886DC3"/>
    <w:rsid w:val="00886EFB"/>
    <w:rsid w:val="0088725C"/>
    <w:rsid w:val="00890C3F"/>
    <w:rsid w:val="008A3391"/>
    <w:rsid w:val="008A5330"/>
    <w:rsid w:val="008A6648"/>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64CB3"/>
    <w:rsid w:val="00973479"/>
    <w:rsid w:val="0099352D"/>
    <w:rsid w:val="00994371"/>
    <w:rsid w:val="0099467D"/>
    <w:rsid w:val="009947F3"/>
    <w:rsid w:val="009A0D85"/>
    <w:rsid w:val="009A347C"/>
    <w:rsid w:val="009B0BBA"/>
    <w:rsid w:val="009B6F04"/>
    <w:rsid w:val="009C235D"/>
    <w:rsid w:val="009C2BB8"/>
    <w:rsid w:val="009E5C9A"/>
    <w:rsid w:val="009F3248"/>
    <w:rsid w:val="009F3EB2"/>
    <w:rsid w:val="009F4216"/>
    <w:rsid w:val="009F4A26"/>
    <w:rsid w:val="009F73D9"/>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1CEE"/>
    <w:rsid w:val="00AB60B0"/>
    <w:rsid w:val="00AC2A69"/>
    <w:rsid w:val="00AC4ADE"/>
    <w:rsid w:val="00AC4F63"/>
    <w:rsid w:val="00AD3336"/>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3769A"/>
    <w:rsid w:val="00B41887"/>
    <w:rsid w:val="00B50804"/>
    <w:rsid w:val="00B5618F"/>
    <w:rsid w:val="00B744CC"/>
    <w:rsid w:val="00B81EA8"/>
    <w:rsid w:val="00B85132"/>
    <w:rsid w:val="00B90DAE"/>
    <w:rsid w:val="00B93523"/>
    <w:rsid w:val="00BA59E6"/>
    <w:rsid w:val="00BA672C"/>
    <w:rsid w:val="00BB00EF"/>
    <w:rsid w:val="00BC3573"/>
    <w:rsid w:val="00BC3A24"/>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821F9"/>
    <w:rsid w:val="00C91530"/>
    <w:rsid w:val="00C92798"/>
    <w:rsid w:val="00C93E00"/>
    <w:rsid w:val="00CA6EFB"/>
    <w:rsid w:val="00CA7979"/>
    <w:rsid w:val="00CB15AF"/>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3CC6"/>
    <w:rsid w:val="00D46BFA"/>
    <w:rsid w:val="00D51F88"/>
    <w:rsid w:val="00D53FDB"/>
    <w:rsid w:val="00D571DA"/>
    <w:rsid w:val="00D60274"/>
    <w:rsid w:val="00D63B22"/>
    <w:rsid w:val="00D64634"/>
    <w:rsid w:val="00D654DB"/>
    <w:rsid w:val="00D70228"/>
    <w:rsid w:val="00D74BBC"/>
    <w:rsid w:val="00D77188"/>
    <w:rsid w:val="00D9301F"/>
    <w:rsid w:val="00D934F1"/>
    <w:rsid w:val="00D93D75"/>
    <w:rsid w:val="00D967AD"/>
    <w:rsid w:val="00DA7338"/>
    <w:rsid w:val="00DB1A9D"/>
    <w:rsid w:val="00DC1A6C"/>
    <w:rsid w:val="00DC1D8C"/>
    <w:rsid w:val="00DC2049"/>
    <w:rsid w:val="00DC3EB4"/>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34D2F"/>
    <w:rsid w:val="00E444F6"/>
    <w:rsid w:val="00E4457C"/>
    <w:rsid w:val="00E506A9"/>
    <w:rsid w:val="00E524DE"/>
    <w:rsid w:val="00E575D1"/>
    <w:rsid w:val="00E7122D"/>
    <w:rsid w:val="00E7126E"/>
    <w:rsid w:val="00E7201E"/>
    <w:rsid w:val="00E803F6"/>
    <w:rsid w:val="00E927F4"/>
    <w:rsid w:val="00E970A5"/>
    <w:rsid w:val="00EA36E6"/>
    <w:rsid w:val="00EA5A37"/>
    <w:rsid w:val="00EA62C0"/>
    <w:rsid w:val="00EA6D5D"/>
    <w:rsid w:val="00EB053C"/>
    <w:rsid w:val="00EB3EA6"/>
    <w:rsid w:val="00EC6129"/>
    <w:rsid w:val="00EC76FB"/>
    <w:rsid w:val="00ED1ED4"/>
    <w:rsid w:val="00ED5F14"/>
    <w:rsid w:val="00ED7F16"/>
    <w:rsid w:val="00EE2204"/>
    <w:rsid w:val="00EE4998"/>
    <w:rsid w:val="00F01EEE"/>
    <w:rsid w:val="00F026D2"/>
    <w:rsid w:val="00F041AF"/>
    <w:rsid w:val="00F04931"/>
    <w:rsid w:val="00F21865"/>
    <w:rsid w:val="00F21E94"/>
    <w:rsid w:val="00F2260E"/>
    <w:rsid w:val="00F25DFD"/>
    <w:rsid w:val="00F274BD"/>
    <w:rsid w:val="00F3325F"/>
    <w:rsid w:val="00F3707E"/>
    <w:rsid w:val="00F43DC5"/>
    <w:rsid w:val="00F47035"/>
    <w:rsid w:val="00F51A2E"/>
    <w:rsid w:val="00F554C3"/>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B4080"/>
    <w:rsid w:val="00FC0F2D"/>
    <w:rsid w:val="00FC5AE6"/>
    <w:rsid w:val="00FC6842"/>
    <w:rsid w:val="00FE15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Naslov2">
    <w:name w:val="heading 2"/>
    <w:basedOn w:val="Normal"/>
    <w:next w:val="Normal"/>
    <w:link w:val="Naslov2Char"/>
    <w:autoRedefine/>
    <w:qFormat/>
    <w:rsid w:val="00A90F89"/>
    <w:pPr>
      <w:keepNext/>
      <w:widowControl/>
      <w:numPr>
        <w:numId w:val="39"/>
      </w:numPr>
      <w:spacing w:before="240" w:after="120"/>
      <w:jc w:val="both"/>
      <w:outlineLvl w:val="1"/>
    </w:pPr>
    <w:rPr>
      <w:b/>
      <w:sz w:val="22"/>
      <w:szCs w:val="22"/>
      <w:lang w:val="en-GB"/>
    </w:rPr>
  </w:style>
  <w:style w:type="paragraph" w:styleId="Naslov3">
    <w:name w:val="heading 3"/>
    <w:basedOn w:val="Normal"/>
    <w:next w:val="Normal"/>
    <w:link w:val="Naslov3Char"/>
    <w:qFormat/>
    <w:rsid w:val="00A90F89"/>
    <w:pPr>
      <w:widowControl/>
      <w:numPr>
        <w:ilvl w:val="1"/>
        <w:numId w:val="39"/>
      </w:numPr>
      <w:spacing w:before="240" w:after="120"/>
      <w:jc w:val="both"/>
      <w:outlineLvl w:val="2"/>
    </w:pPr>
    <w:rPr>
      <w:snapToGrid/>
      <w:sz w:val="22"/>
      <w:szCs w:val="22"/>
      <w:lang w:val="en-GB"/>
    </w:rPr>
  </w:style>
  <w:style w:type="paragraph" w:styleId="Naslov4">
    <w:name w:val="heading 4"/>
    <w:basedOn w:val="Normal"/>
    <w:next w:val="Normal"/>
    <w:link w:val="Naslov4Char"/>
    <w:autoRedefine/>
    <w:qFormat/>
    <w:rsid w:val="0064675B"/>
    <w:pPr>
      <w:widowControl/>
      <w:spacing w:before="120" w:after="120"/>
      <w:ind w:left="1440"/>
      <w:jc w:val="both"/>
      <w:outlineLvl w:val="3"/>
    </w:pPr>
    <w:rPr>
      <w:sz w:val="22"/>
      <w:szCs w:val="22"/>
      <w:lang w:val="en-GB"/>
    </w:rPr>
  </w:style>
  <w:style w:type="paragraph" w:styleId="Naslov5">
    <w:name w:val="heading 5"/>
    <w:basedOn w:val="Normal"/>
    <w:next w:val="Normal"/>
    <w:link w:val="Naslov5Char"/>
    <w:qFormat/>
    <w:rsid w:val="00A90F89"/>
    <w:pPr>
      <w:widowControl/>
      <w:numPr>
        <w:ilvl w:val="3"/>
        <w:numId w:val="39"/>
      </w:numPr>
      <w:spacing w:before="240" w:after="120"/>
      <w:jc w:val="both"/>
      <w:outlineLvl w:val="4"/>
    </w:pPr>
    <w:rPr>
      <w:sz w:val="22"/>
      <w:szCs w:val="22"/>
      <w:lang w:val="en-G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Istaknuto">
    <w:name w:val="Emphasis"/>
    <w:qFormat/>
    <w:rPr>
      <w:i/>
    </w:rPr>
  </w:style>
  <w:style w:type="character" w:styleId="Hiperveza">
    <w:name w:val="Hyperlink"/>
    <w:rPr>
      <w:color w:val="0000FF"/>
      <w:u w:val="single"/>
    </w:rPr>
  </w:style>
  <w:style w:type="character" w:styleId="SlijeenaHiperveza">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dnoobrasca">
    <w:name w:val="HTML Bottom of Form"/>
    <w:next w:val="Normal"/>
    <w:hidden/>
    <w:pPr>
      <w:widowControl w:val="0"/>
      <w:pBdr>
        <w:top w:val="double" w:sz="2" w:space="0" w:color="000000"/>
      </w:pBdr>
      <w:jc w:val="center"/>
    </w:pPr>
    <w:rPr>
      <w:rFonts w:ascii="Arial" w:hAnsi="Arial"/>
      <w:snapToGrid w:val="0"/>
      <w:vanish/>
      <w:sz w:val="16"/>
    </w:rPr>
  </w:style>
  <w:style w:type="paragraph" w:styleId="z-vrhobrasca">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Naglaeno">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Kartadokumenta">
    <w:name w:val="Document Map"/>
    <w:basedOn w:val="Normal"/>
    <w:semiHidden/>
    <w:pPr>
      <w:shd w:val="clear" w:color="auto" w:fill="000080"/>
    </w:pPr>
  </w:style>
  <w:style w:type="paragraph" w:styleId="Zaglavlje">
    <w:name w:val="header"/>
    <w:basedOn w:val="Normal"/>
    <w:rsid w:val="00564E88"/>
    <w:pPr>
      <w:tabs>
        <w:tab w:val="center" w:pos="4536"/>
        <w:tab w:val="right" w:pos="9072"/>
      </w:tabs>
    </w:pPr>
  </w:style>
  <w:style w:type="paragraph" w:styleId="Podnoje">
    <w:name w:val="footer"/>
    <w:basedOn w:val="Normal"/>
    <w:rsid w:val="00564E88"/>
    <w:pPr>
      <w:tabs>
        <w:tab w:val="center" w:pos="4536"/>
        <w:tab w:val="right" w:pos="9072"/>
      </w:tabs>
    </w:pPr>
  </w:style>
  <w:style w:type="character" w:styleId="Brojstranice">
    <w:name w:val="page number"/>
    <w:basedOn w:val="Zadanifontodlomka"/>
    <w:rsid w:val="00AA679C"/>
  </w:style>
  <w:style w:type="paragraph" w:styleId="Tekstbalonia">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Tekstfusnote">
    <w:name w:val="footnote text"/>
    <w:basedOn w:val="Normal"/>
    <w:link w:val="TekstfusnoteChar"/>
    <w:rsid w:val="000E3C60"/>
    <w:rPr>
      <w:sz w:val="20"/>
    </w:rPr>
  </w:style>
  <w:style w:type="character" w:customStyle="1" w:styleId="TekstfusnoteChar">
    <w:name w:val="Tekst fusnote Char"/>
    <w:link w:val="Tekstfusnote"/>
    <w:rsid w:val="000E3C60"/>
    <w:rPr>
      <w:snapToGrid w:val="0"/>
      <w:lang w:val="en-US" w:eastAsia="en-US"/>
    </w:rPr>
  </w:style>
  <w:style w:type="character" w:styleId="Referencafusnote">
    <w:name w:val="footnote reference"/>
    <w:rsid w:val="000E3C60"/>
    <w:rPr>
      <w:vertAlign w:val="superscript"/>
    </w:rPr>
  </w:style>
  <w:style w:type="character" w:styleId="Referencakomentara">
    <w:name w:val="annotation reference"/>
    <w:uiPriority w:val="99"/>
    <w:rsid w:val="00CD6592"/>
    <w:rPr>
      <w:sz w:val="16"/>
      <w:szCs w:val="16"/>
    </w:rPr>
  </w:style>
  <w:style w:type="paragraph" w:styleId="Tekstkomentara">
    <w:name w:val="annotation text"/>
    <w:basedOn w:val="Normal"/>
    <w:link w:val="TekstkomentaraChar"/>
    <w:rsid w:val="00CD6592"/>
    <w:rPr>
      <w:sz w:val="20"/>
    </w:rPr>
  </w:style>
  <w:style w:type="character" w:customStyle="1" w:styleId="TekstkomentaraChar">
    <w:name w:val="Tekst komentara Char"/>
    <w:link w:val="Tekstkomentara"/>
    <w:rsid w:val="00CD6592"/>
    <w:rPr>
      <w:snapToGrid w:val="0"/>
      <w:lang w:val="en-US" w:eastAsia="en-US"/>
    </w:rPr>
  </w:style>
  <w:style w:type="paragraph" w:styleId="Predmetkomentara">
    <w:name w:val="annotation subject"/>
    <w:basedOn w:val="Tekstkomentara"/>
    <w:next w:val="Tekstkomentara"/>
    <w:link w:val="PredmetkomentaraChar"/>
    <w:rsid w:val="00CD6592"/>
    <w:rPr>
      <w:b/>
      <w:bCs/>
    </w:rPr>
  </w:style>
  <w:style w:type="character" w:customStyle="1" w:styleId="PredmetkomentaraChar">
    <w:name w:val="Predmet komentara Char"/>
    <w:link w:val="Predmetkomentara"/>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Uvuenotijeloteksta">
    <w:name w:val="Body Text Indent"/>
    <w:basedOn w:val="Normal"/>
    <w:link w:val="UvuenotijelotekstaChar"/>
    <w:rsid w:val="00A90F89"/>
    <w:pPr>
      <w:widowControl/>
      <w:spacing w:before="0" w:after="120"/>
      <w:ind w:left="567"/>
      <w:jc w:val="both"/>
    </w:pPr>
    <w:rPr>
      <w:sz w:val="22"/>
      <w:lang w:val="en-GB"/>
    </w:rPr>
  </w:style>
  <w:style w:type="character" w:customStyle="1" w:styleId="UvuenotijelotekstaChar">
    <w:name w:val="Uvučeno tijelo teksta Char"/>
    <w:link w:val="Uvuenotijeloteksta"/>
    <w:rsid w:val="00A90F89"/>
    <w:rPr>
      <w:snapToGrid w:val="0"/>
      <w:sz w:val="22"/>
      <w:lang w:eastAsia="en-US"/>
    </w:rPr>
  </w:style>
  <w:style w:type="character" w:customStyle="1" w:styleId="Naslov2Char">
    <w:name w:val="Naslov 2 Char"/>
    <w:link w:val="Naslov2"/>
    <w:rsid w:val="00A90F89"/>
    <w:rPr>
      <w:b/>
      <w:snapToGrid w:val="0"/>
      <w:sz w:val="22"/>
      <w:szCs w:val="22"/>
      <w:lang w:eastAsia="en-US"/>
    </w:rPr>
  </w:style>
  <w:style w:type="character" w:customStyle="1" w:styleId="Naslov3Char">
    <w:name w:val="Naslov 3 Char"/>
    <w:link w:val="Naslov3"/>
    <w:rsid w:val="00A90F89"/>
    <w:rPr>
      <w:sz w:val="22"/>
      <w:szCs w:val="22"/>
      <w:lang w:eastAsia="en-US"/>
    </w:rPr>
  </w:style>
  <w:style w:type="character" w:customStyle="1" w:styleId="Naslov4Char">
    <w:name w:val="Naslov 4 Char"/>
    <w:link w:val="Naslov4"/>
    <w:rsid w:val="0064675B"/>
    <w:rPr>
      <w:snapToGrid w:val="0"/>
      <w:sz w:val="22"/>
      <w:szCs w:val="22"/>
      <w:lang w:eastAsia="en-US"/>
    </w:rPr>
  </w:style>
  <w:style w:type="character" w:customStyle="1" w:styleId="Naslov5Char">
    <w:name w:val="Naslov 5 Char"/>
    <w:link w:val="Naslov5"/>
    <w:rsid w:val="00A90F89"/>
    <w:rPr>
      <w:snapToGrid w:val="0"/>
      <w:sz w:val="22"/>
      <w:szCs w:val="22"/>
      <w:lang w:eastAsia="en-US"/>
    </w:rPr>
  </w:style>
  <w:style w:type="table" w:styleId="Reetkatablice">
    <w:name w:val="Table Grid"/>
    <w:basedOn w:val="Obinatablica"/>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Odlomakpopisa">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Srednjesjenanje1-Isticanje5">
    <w:name w:val="Medium Shading 1 Accent 5"/>
    <w:basedOn w:val="Obinatablica"/>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styleId="Nerijeenospominjanje">
    <w:name w:val="Unresolved Mention"/>
    <w:basedOn w:val="Zadanifontodlomka"/>
    <w:uiPriority w:val="99"/>
    <w:semiHidden/>
    <w:unhideWhenUsed/>
    <w:rsid w:val="000E4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f.sum.ba/projekt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f.sum.ba/projekti/" TargetMode="External"/><Relationship Id="rId4" Type="http://schemas.openxmlformats.org/officeDocument/2006/relationships/settings" Target="settings.xml"/><Relationship Id="rId9" Type="http://schemas.openxmlformats.org/officeDocument/2006/relationships/hyperlink" Target="mailto:marin.sunjic@mef.sum.b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EC271-59FE-4449-8BF8-E035125ED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2127</Words>
  <Characters>12125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proc_notice_en</vt:lpstr>
    </vt:vector>
  </TitlesOfParts>
  <Company/>
  <LinksUpToDate>false</LinksUpToDate>
  <CharactersWithSpaces>14224</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User</cp:lastModifiedBy>
  <cp:revision>5</cp:revision>
  <cp:lastPrinted>2012-09-24T08:29:00Z</cp:lastPrinted>
  <dcterms:created xsi:type="dcterms:W3CDTF">2025-12-03T07:41:00Z</dcterms:created>
  <dcterms:modified xsi:type="dcterms:W3CDTF">2025-12-03T10:12:00Z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